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4tywcct57e13" w:id="0"/>
      <w:bookmarkEnd w:id="0"/>
      <w:r w:rsidDel="00000000" w:rsidR="00000000" w:rsidRPr="00000000">
        <w:rPr>
          <w:rFonts w:ascii="Arial Unicode MS" w:cs="Arial Unicode MS" w:eastAsia="Arial Unicode MS" w:hAnsi="Arial Unicode MS"/>
          <w:b w:val="1"/>
          <w:bCs w:val="1"/>
          <w:sz w:val="44"/>
          <w:szCs w:val="44"/>
          <w:rtl w:val="0"/>
        </w:rPr>
        <w:t xml:space="preserve">意匠権専用実施権許諾契約書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保有する意匠権について、乙に対し専用実施権を許諾することに関し、次のとおり意匠権専用実施権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gz7pbvxr6i8"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本契約は、甲が保有する意匠権について、乙に対し専用実施権を許諾し、その実施条件、権利義務関係その他必要事項を定めることを目的とする。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b4v3nehhgm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第2条（対象意匠権）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本契約の対象となる意匠権は、次の各号に定める意匠権とする。</w:t>
        <w:br w:type="textWrapping"/>
        <w:t xml:space="preserve">一　意匠登録番号：第●●号</w:t>
        <w:br w:type="textWrapping"/>
        <w:t xml:space="preserve">二　意匠の名称：●●</w:t>
        <w:br w:type="textWrapping"/>
        <w:t xml:space="preserve">三　登録日：●年●月●日</w:t>
        <w:br w:type="textWrapping"/>
        <w:t xml:space="preserve">四　権利者：甲</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kyx4opjsp94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第3条（専用実施権の許諾）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甲は、本契約に基づき、前条に定める意匠権について、日本国内において、乙に対し専用実施権を許諾する。</w:t>
        <w:br w:type="textWrapping"/>
        <w:t xml:space="preserve">2　本契約に基づく専用実施権は、意匠法に基づく専用実施権として、第三者に対抗する効力を有するものとする。</w:t>
        <w:br w:type="textWrapping"/>
        <w:t xml:space="preserve">3　甲は、本契約の有効期間中、自ら又は第三者に対し、本意匠権を実施させないものとする。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l42frxpxnvsc"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第4条（実施内容及び範囲）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乙は、本意匠権を、次の各号に定める態様に限り実施することができる。</w:t>
        <w:br w:type="textWrapping"/>
        <w:t xml:space="preserve">一　対象製品：●●</w:t>
        <w:br w:type="textWrapping"/>
        <w:t xml:space="preserve">二　実施方法：製造、販売、展示、輸出入その他付随行為</w:t>
        <w:br w:type="textWrapping"/>
        <w:t xml:space="preserve">三　実施地域：日本国内</w:t>
        <w:br w:type="textWrapping"/>
        <w:t xml:space="preserve">2　乙は、前項の範囲を超えて本意匠権を実施してはならない。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ddbh5qei9cc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第5条（対価）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乙は、本契約に基づく専用実施権の許諾の対価として、甲に対し、次の各号に定める金額を支払う。</w:t>
        <w:br w:type="textWrapping"/>
        <w:t xml:space="preserve">一　基本許諾料：金●●円（消費税別）</w:t>
        <w:br w:type="textWrapping"/>
        <w:t xml:space="preserve">二　ロイヤルティ：本意匠権を実施した製品の売上高に対し●％</w:t>
        <w:br w:type="textWrapping"/>
        <w:t xml:space="preserve">2　支払方法、支払期日その他詳細条件については、別途甲乙協議のうえ定めるものとする。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3m8szy5hun9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第6条（専用実施権の登録）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乙は、本契約に基づく専用実施権について、意匠法に基づく専用実施権設定登録を行うものとし、その登録に要する費用は乙の負担とする。</w:t>
        <w:br w:type="textWrapping"/>
        <w:t xml:space="preserve">2　甲は、前項の登録に必要な書類の提出その他合理的な協力を行うものとする。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gpg9097tsns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第7条（権利侵害への対応）</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第三者による本意匠権の侵害又は侵害のおそれが生じた場合には、甲乙協議のうえ、その対応方針を決定するものとする。</w:t>
        <w:br w:type="textWrapping"/>
        <w:t xml:space="preserve">2　前項の対応に要する費用及び回収金の配分については、別途協議のうえ定めるものとする。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qb6lnl78ogc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第8条（改良意匠等）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本意匠権に関連して新たな改良意匠その他の意匠が創作された場合の権利帰属及び取扱いについては、甲乙協議のうえ別途定めるものとする。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4fomdma3wb53"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本契約の有効期間は、●年●月●日から、当該意匠権の存続期間満了日までとする。</w:t>
        <w:br w:type="textWrapping"/>
        <w:t xml:space="preserve">2　契約期間満了又は本契約終了後においても、未払いの対価その他本契約に基づき発生した義務は存続する。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8u51v8e8q1at"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f5c9ns16s0l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ibfmt9n04y0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甲及び乙は、本契約に関連して知り得た相手方の技術情報、営業情報その他一切の非公開情報について、第三者に開示又は漏えいしてはならない。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f22g21ju7jp"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第13条（譲渡禁止）</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乙は、甲の事前の書面による承諾なく、本契約上の地位又は本契約に基づく権利義務の全部又は一部を第三者に譲渡し、又は担保に供してはならない。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i093618gu2lw"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tykzhzczrzck"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