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utw2rq18wzh" w:id="0"/>
      <w:bookmarkEnd w:id="0"/>
      <w:r w:rsidDel="00000000" w:rsidR="00000000" w:rsidRPr="00000000">
        <w:rPr>
          <w:rFonts w:ascii="Arial Unicode MS" w:cs="Arial Unicode MS" w:eastAsia="Arial Unicode MS" w:hAnsi="Arial Unicode MS"/>
          <w:b w:val="1"/>
          <w:bCs w:val="1"/>
          <w:sz w:val="44"/>
          <w:szCs w:val="44"/>
          <w:rtl w:val="0"/>
        </w:rPr>
        <w:t xml:space="preserve">銀行取引約定書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〇〇銀行株式会社（以下「甲」という。）と、甲と取引を行う者（以下「乙」という。）は、甲乙間の銀行取引に関し、以下のとおり銀行取引約定書（以下「本約定」という。）を締結する。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b8nt8bq8gl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本約定は、甲が乙に対して提供する各種銀行取引について、その基本的な取引条件および権利義務関係を明確にすることを目的とする。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wdbfchl9km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定は、甲乙間における預金取引、融資取引、為替取引、口座振替その他甲が提供する金融サービス全般に適用されるものとする。ただし、個別の取引につき別途契約または約定がある場合は、当該契約または約定が優先して適用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5a1tyjjmplp"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第3条（取引開始）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乙は、甲所定の手続に従い必要書類を提出し、甲がこれを承認した場合に、銀行取引を開始することができる。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5800pux6wdp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第4条（届出事項）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氏名、名称、住所、代表者、連絡先、印鑑その他甲に届け出た事項に変更が生じた場合、速やかに甲所定の方法により届け出るものとする。届出を怠ったことにより生じた損害について、甲は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ysrpb6va230k"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第5条（取引の管理）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乙は、自己の責任において口座番号、暗証番号、認証情報等を厳重に管理するものとし、第三者による不正使用があった場合であっても、甲に故意または重過失がない限り、甲は責任を負わない。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2xycpo8r5c3"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第6条（手数料等）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乙は、甲が別途定める手数料、利息、費用その他の金銭を、甲所定の方法により支払うものとする。これらの条件は、法令の範囲内で変更されることがある。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fcrro1a1mc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虚偽の情報を提供する行為</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不正な目的で銀行取引を利用する行為</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z0k85u9oe4od"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第8条（取引の停止・解約）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甲は、乙が本約定または法令に違反した場合、事前の通知なく取引の全部または一部を停止し、または解約することができる。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rjsvcdb2qho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第9条（期限の利益喪失）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乙が本約定に違反した場合、または信用状態に重大な変化が生じた場合、乙は当然に期限の利益を失い、直ちに甲に対する一切の債務を履行するものとする。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dmm1bt4qsksd"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天災地変、通信障害、システム障害その他甲の責に帰さない事由により取引が遅延または不能となった場合、甲は責任を負わない。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e9g0s45l6g68"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乙は、自らが反社会的勢力に該当しないことを表明し、将来にわたってもこれに該当しないことを保証する。これに違反した場合、甲は何らの通知を要せず取引を解約できる。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suwh1og134qh"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第12条（約定の変更）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甲は、法令の変更、金融情勢の変化その他合理的な理由がある場合、本約定の内容を変更することができる。この場合、甲は所定の方法により乙に周知する。</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fat6anwv939g"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本約定は日本法を準拠法とし、本約定に関して生じる紛争については、甲の本店所在地を管轄する地方裁判所を第一審の専属的合意管轄裁判所とする。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