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0yk5syqyerv" w:id="0"/>
      <w:bookmarkEnd w:id="0"/>
      <w:r w:rsidDel="00000000" w:rsidR="00000000" w:rsidRPr="00000000">
        <w:rPr>
          <w:rFonts w:ascii="Arial Unicode MS" w:cs="Arial Unicode MS" w:eastAsia="Arial Unicode MS" w:hAnsi="Arial Unicode MS"/>
          <w:b w:val="1"/>
          <w:bCs w:val="1"/>
          <w:sz w:val="44"/>
          <w:szCs w:val="44"/>
          <w:rtl w:val="0"/>
        </w:rPr>
        <w:t xml:space="preserve">転抵当権設定契約書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●●株式会社（以下「甲」という。）と、●●株式会社（以下「乙」という。）は、次のとおり転抵当権設定契約（以下「本契約」という。）を締結する。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agx89853ujfl"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甲が有する金銭債権を被担保債権として、第三者に対して負担する債務の担保として、甲が乙に対して有する下記第2条記載の抵当権について、民法の定めに基づき転抵当権を設定し、乙はこれを承諾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4oxoys0aap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第2条（原抵当権の表示）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本契約に基づき転抵当権が設定される原抵当権は、次のとおりとする。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抵当権設定者：●●</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抵当権者：甲</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被担保債権の内容：●●金銭消費貸借契約に基づく貸付金債権</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抵当権設定年月日：●●年●月●日</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目的不動産：別紙目録記載の不動産</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登記原因及び受付年月日：●●</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m0whz0jz7al0"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第3条（被担保債権）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本転抵当権により担保される債権は、甲が第三者に対して負担する下記債務とする。</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債権者：●●</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債務の内容：●●契約に基づく債務</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元本極度額又は債務額：金●●円</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利息、遅延損害金、違約金その他付随する一切の債務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w3mv6h967w3z"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第4条（転抵当権の範囲）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本転抵当権は、原抵当権に基づく元本、利息、遅延損害金、違約金、強制執行費用その他当該抵当権に付随する一切の権利に及ぶものとする。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39jk2r993xi"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第5条（登記）</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本転抵当権設定に関する登記手続は、甲乙協議のうえ速やかに行うものとする。</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登記に要する費用は、●●の負担とする。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mfxftpft0667"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第6条（処分禁止）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甲は、乙の事前の書面による承諾なく、原抵当権の全部又は一部について、譲渡、放棄、順位変更、抹消請求その他一切の処分を行ってはならない。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v55g4hrw93x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第7条（通知義務）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甲は、原抵当権に関し、弁済、代位、混同、消滅時効の完成その他権利内容に影響を及ぼす事由が生じた場合には、速やかに乙に通知しなければならない。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cdldb5wkrj7v"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第8条（原抵当権の存続）</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本転抵当権は、原抵当権が有効に存続することを前提とし、原抵当権が消滅した場合には、本転抵当権も同時に消滅するものとする。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xpsknlstpfa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第9条（担保権実行）</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乙は、被担保債権について履行遅滞その他担保権実行事由が生じた場合には、法令に従い、本転抵当権を行使することができるものとする。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cg44hgk6ayr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第10条（契約の解除）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q9mbhg9c0ffk"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4qt3ilj9826"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第12条（準拠法及び管轄）</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o55om7w4y236"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