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yo0r4lcjojgo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転質契約書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●●株式会社（以下「甲」という。）と、●●株式会社（以下「乙」という。）は、次のとおり転質契約（以下「本契約」という。）を締結する。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hg03dmokml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本契約は、乙が甲に対して負担する●●債務を担保するため、乙が有する質権を、甲に対して転質する条件を定め、当事者間の権利義務関係を明確にすることを目的とする。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m5ol3683ljc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第2条（原質権の内容）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乙は、別紙記載の原債務者と質権設定者との間で成立した質権（以下「原質権」という。）を有していることを保証する。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原質権の被担保債権、質物の内容、設定日その他の条件は、別紙の記載のとおりとする。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qs715bnqh7g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第3条（転質の設定）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乙は、本契約に基づき、自己が有する原質権を、甲に対して転質する。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本転質は、甲が乙に対して有する●●債権を被担保債権とする。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乙は、転質の効力を妨げる一切の行為を行わないものとする。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tgvi4y6k4a3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第4条（転質の効力範囲）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本転質の効力は、原質権の効力が及ぶ範囲内においてのみ生じるものとする。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原質権が消滅、無効又は制限された場合、本転質も同一の範囲で影響を受けるものとする。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vxrvkw4t8hp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第5条（通知および承諾）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乙は、原質権の設定者および原債務者に対し、本転質の事実を、法令上必要な方法により通知または承諾を取得するものとする。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kg91bpyehq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第6条（質物の管理）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乙は、原質権に基づく質物を、善良なる管理者の注意をもって管理する。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乙は、質物の価値を減少させるおそれのある行為をしてはならない。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ig5a2cyias7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第7条（弁済充当）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被担保債権について期限の利益を喪失した場合、甲は、法令に従い、転質に基づく権利を行使することができる。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転質の実行により取得した金銭は、まず転質に関する費用に充当し、次に被担保債権に充当する。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4fx7eav3xsl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第8条（原質権の変更・消滅）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乙は、甲の事前の書面による承諾なく、原質権の内容を変更し、又は原質権を消滅させる行為を行ってはならない。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8b7f1skw9hv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第9条（保証）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乙は、原質権が適法かつ有効に成立していること、並びに第三者の権利を侵害していないことを保証する。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bgv5a673dtt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第10条（損害賠償）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乙が本契約に違反し、甲に損害を与えた場合、乙は、甲に対し、当該損害を賠償する責任を負う。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x67i7accamg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第11条（譲渡禁止）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乙は、本契約上の地位または権利義務を、甲の事前の書面による承諾なく、第三者に譲渡または担保提供してはならない。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47cvi7pspt5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第12条（契約期間）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本契約は、●●年●月●日から、被担保債権が完全に弁済されるまで有効に存続する。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5hi3hr2ks2k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第13条（協議事項）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本契約に定めのない事項または疑義が生じた場合には、甲乙誠意をもって協議し、解決を図るものとする。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dibv6vdssn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第14条（準拠法および管轄）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本契約は、日本法を準拠法とする。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本契約に関して生じる一切の紛争については、●●地方裁判所を第一審の専属的合意管轄裁判所とする。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本契約締結の証として、本書2通を作成し、甲乙記名押印のうえ、各自1通を保有する。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代表者名：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代表者名：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