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yo0r4lcjojgo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転質契約書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●●株式会社（以下「甲」という。）と、●●株式会社（以下「乙」という。）は、次のとおり転質契約（以下「本契約」という。）を締結する。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hg03dmokmlx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本契約は、乙が甲に対して負担する●●債務を担保するため、乙が有する質権を、甲に対して転質する条件を定め、当事者間の権利義務関係を明確にすることを目的とする。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m5ol3683lj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第2条（原質権の内容）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乙は、別紙記載の原債務者と質権設定者との間で成立した質権（以下「原質権」という。）を有していることを保証する。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原質権の被担保債権、質物の内容、設定日その他の条件は、別紙の記載のとおりとする。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qs715bnqh7g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第3条（転質の設定）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乙は、本契約に基づき、自己が有する原質権を、甲に対して転質する。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本転質は、甲が乙に対して有する●●債権を被担保債権とする。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乙は、転質の効力を妨げる一切の行為を行わないものとする。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tgvi4y6k4a3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第4条（転質の効力範囲）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本転質の効力は、原質権の効力が及ぶ範囲内においてのみ生じるものとする。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原質権が消滅、無効又は制限された場合、本転質も同一の範囲で影響を受けるものとする。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vxrvkw4t8hp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第5条（通知および承諾）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乙は、原質権の設定者および原債務者に対し、本転質の事実を、法令上必要な方法により通知または承諾を取得するものとする。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kg91bpyehq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第6条（質物の管理）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乙は、原質権に基づく質物を、善良なる管理者の注意をもって管理する。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乙は、質物の価値を減少させるおそれのある行為をしてはならない。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ig5a2cyias7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第7条（弁済充当）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被担保債権について期限の利益を喪失した場合、甲は、法令に従い、転質に基づく権利を行使することができる。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転質の実行により取得した金銭は、まず転質に関する費用に充当し、次に被担保債権に充当する。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4fx7eav3xsl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第8条（原質権の変更・消滅）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乙は、甲の事前の書面による承諾なく、原質権の内容を変更し、又は原質権を消滅させる行為を行ってはならない。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8b7f1skw9hv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第9条（保証）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乙は、原質権が適法かつ有効に成立していること、並びに第三者の権利を侵害していないことを保証する。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gv5a673dtt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第10条（損害賠償）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乙が本契約に違反し、甲に損害を与えた場合、乙は、甲に対し、当該損害を賠償する責任を負う。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x67i7accamg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第11条（譲渡禁止）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乙は、本契約上の地位または権利義務を、甲の事前の書面による承諾なく、第三者に譲渡または担保提供してはならない。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47cvi7pspt5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第12条（契約期間）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本契約は、●●年●月●日から、被担保債権が完全に弁済されるまで有効に存続する。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hi3hr2ks2k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第13条（協議事項）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本契約に定めのない事項または疑義が生じた場合には、甲乙誠意をもって協議し、解決を図るものとする。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dibv6vdssn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第14条（準拠法および管轄）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本契約は、日本法を準拠法とする。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本契約に関して生じる一切の紛争については、●●地方裁判所を第一審の専属的合意管轄裁判所とする。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本契約締結の証として、本書2通を作成し、甲乙記名押印のうえ、各自1通を保有する。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代表者名：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代表者名：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