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mw2m4kv6apl" w:id="0"/>
      <w:bookmarkEnd w:id="0"/>
      <w:r w:rsidDel="00000000" w:rsidR="00000000" w:rsidRPr="00000000">
        <w:rPr>
          <w:rFonts w:ascii="Arial Unicode MS" w:cs="Arial Unicode MS" w:eastAsia="Arial Unicode MS" w:hAnsi="Arial Unicode MS"/>
          <w:b w:val="1"/>
          <w:bCs w:val="1"/>
          <w:sz w:val="44"/>
          <w:szCs w:val="44"/>
          <w:rtl w:val="0"/>
        </w:rPr>
        <w:t xml:space="preserve">借地権付建物売買契約書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売主●●（以下「甲」という。）と買主●●（以下「乙」という。）は、甲が有する借地権付き建物の売買について、次のとおり契約（以下「本契約」という。）を締結する。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0wowday40y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第1条（売買の目的）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甲は、別紙記載の土地上に存する建物（以下「本建物」という。）および本建物に付随する借地権（以下「本借地権」という。）を乙に売り渡し、乙はこれを買い受ける。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wbcrtc4t3n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第2条（借地権の内容）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本借地権は、借地借家法に基づく●●借地権であり、借地条件、存続期間、地代、更新条件その他の内容は、甲と地主●●（以下「地主」という。）との間で締結された借地契約の定めによる。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i31p85ylv5e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第3条（売買代金）</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本契約に基づく売買代金の総額は、金●●円とし、乙はこれを次の方法により甲に支払う。</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契約締結時に手付金として金●●円</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残代金として金●●円を引渡日までに支払う</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vr810thn6g7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第4条（地主の承諾）</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本借地権の譲渡には地主の承諾を要するため、甲および乙は協力して地主の承諾取得手続きを行うものとする。地主の承諾料が発生する場合、その負担は●●とする。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z2f5cqm1c4yt"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第5条（引渡し）</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甲は、売買代金全額の支払いを確認後、速やかに本建物を現状有姿のまま乙に引き渡すものとする。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ukyiv73r5tg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第6条（危険負担）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本建物の引渡し前に、天災その他甲乙いずれの責めにも帰さない事由により本建物が滅失または毀損した場合、その損害は甲の負担とする。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g720pao4nr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第7条（公租公課・地代）</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本建物に係る固定資産税等の公租公課および地代は、引渡日を基準として日割計算により甲乙間で精算する。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1ze8qrg7kg9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第8条（契約不適合責任）</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本建物に隠れた瑕疵がある場合であっても、乙は現状有姿での引渡しに同意するものとし、甲は契約不適合責任を負わない。ただし、甲の故意または重過失による場合はこの限りでない。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7and2rfyi0p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第9条（解除）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乙が売買代金の支払いを怠った場合、甲は相当期間を定めて催告したうえで本契約の全部または一部を解除することができる。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dnnyxkracs8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本契約に違反し相手方に損害を与えた当事者は、相手方に生じた通常かつ直接の損害を賠償する責任を負う。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ub15mp5wuih9"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本契約に定めのない事項または解釈に疑義が生じた場合には、甲乙誠意をもって協議し解決する。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cv6j9t2bdqn"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第12条（管轄裁判所）</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