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xsfc9htoz82j" w:id="0"/>
      <w:bookmarkEnd w:id="0"/>
      <w:r w:rsidDel="00000000" w:rsidR="00000000" w:rsidRPr="00000000">
        <w:rPr>
          <w:rFonts w:ascii="Arial Unicode MS" w:cs="Arial Unicode MS" w:eastAsia="Arial Unicode MS" w:hAnsi="Arial Unicode MS"/>
          <w:b w:val="1"/>
          <w:bCs w:val="1"/>
          <w:sz w:val="44"/>
          <w:szCs w:val="44"/>
          <w:rtl w:val="0"/>
        </w:rPr>
        <w:t xml:space="preserve">境界確定契約書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土地所有者である甲及び乙は、甲乙間に存する土地の境界について確認及び確定を行うことを目的として、以下のとおり境界確定契約（以下「本契約」という。）を締結する。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ogzkm7k8civ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本契約は、甲所有の土地及び乙所有の土地の境界線の位置を明確にし、将来にわたる境界紛争を予防することを目的とする。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8rq2z88op055"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本契約の対象となる土地は、以下のとおりとする。</w:t>
        <w:br w:type="textWrapping"/>
        <w:t xml:space="preserve">1 甲所有地：所在地、地番、地目、地積</w:t>
        <w:br w:type="textWrapping"/>
        <w:t xml:space="preserve">2 乙所有地：所在地、地番、地目、地積</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b79iajj1j34g"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第3条（境界の確定）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甲及び乙は、前条に定める土地の境界について、測量の結果及び関係資料を確認のうえ、別紙境界確定図に示された境界線をもって、正式な土地境界として相互に確認し、これを確定する。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exxnp4kw0f8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第4条（境界標）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甲及び乙は、前条に基づき確定した境界線上に設置された境界標の位置及び種類について確認し、当該境界標を正当な境界の標識として認める。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dzdg5vgy9uxt"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第5条（異議申立ての放棄）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甲及び乙は、本契約に基づき確定した境界について、将来にわたり、正当な理由なく異議を申し立てないことを相互に確認する。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p9wr36f0n1l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第6条（第三者への効力）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甲及び乙は、本契約の内容が、将来それぞれの土地を譲渡、相続その他の方法により承継させる場合においても、承継人に対して尊重されるべきものであることを確認する。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1mfl23mmfyqs"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境界確定に要した測量費用その他の必要費用の負担については、甲乙協議のうえ、別途定めるものとする。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nyu9hqxfna8q"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第8条（契約内容の変更）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本契約の内容を変更する場合には、甲乙協議のうえ、書面による合意をもって行うものとする。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wbac73yfjssn"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5u6njks7rvr3"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第10条（管轄裁判所）</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本契約に関して生じた紛争については、対象土地の所在地を管轄する地方裁判所を第一審の専属的合意管轄裁判所とする。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