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4cswqooa2jtn" w:id="0"/>
      <w:bookmarkEnd w:id="0"/>
      <w:r w:rsidDel="00000000" w:rsidR="00000000" w:rsidRPr="00000000">
        <w:rPr>
          <w:rFonts w:ascii="Arial Unicode MS" w:cs="Arial Unicode MS" w:eastAsia="Arial Unicode MS" w:hAnsi="Arial Unicode MS"/>
          <w:b w:val="1"/>
          <w:bCs w:val="1"/>
          <w:sz w:val="44"/>
          <w:szCs w:val="44"/>
          <w:rtl w:val="0"/>
        </w:rPr>
        <w:t xml:space="preserve">事業譲渡に関する基本合意書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甲が営む事業の全部又は一部の譲渡に関する検討を行うにあたり、今後の協議の基本的事項を定めるため、以下のとおり事業譲渡に関する基本合意書（以下「本合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xz7hu6bw5kvh"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本合意書は、甲及び乙が、甲の事業譲渡の可能性及び条件について誠意をもって協議することを目的とし、現時点における基本的な合意事項及び今後の協議方針を定めるものである。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rbhgz3ir9uyd"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第2条（譲渡対象事業の概要）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本合意書に基づき協議の対象となる事業は、甲が営む以下の事業とする。</w:t>
        <w:br w:type="textWrapping"/>
        <w:t xml:space="preserve">具体的な範囲、内容及び条件については、今後の協議により確定するものとする。</w:t>
        <w:br w:type="textWrapping"/>
        <w:t xml:space="preserve">一　事業内容</w:t>
        <w:br w:type="textWrapping"/>
        <w:t xml:space="preserve">二　対象資産、負債、契約関係</w:t>
        <w:br w:type="textWrapping"/>
        <w:t xml:space="preserve">三　従業員の取扱い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tl8m3glilkix"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第3条（譲渡条件の検討）</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甲及び乙は、事業譲渡に関する譲渡価額、譲渡時期、譲渡方法その他の条件について、法令及び実務慣行を踏まえ、誠意をもって協議するものとする。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tsimdulibsc8"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第4条（デューデリジェンス）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事業譲渡の検討を目的として、甲に対し、必要な範囲で財務、法務、税務、業務等に関する調査（以下「デューデリジェンス」という。）を実施することができるものとし、甲は合理的な範囲でこれに協力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3oeom56omedt"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第5条（秘密保持）</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甲及び乙は、本合意書に関連して知り得た相手方の営業上、技術上その他一切の非公開情報について、第三者に開示又は漏えいしてはならないものとし、本件事業譲渡の検討目的以外に利用してはならない。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d1m81qae6zeu"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第6条（独占交渉）</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本合意書の有効期間中、甲は、本件事業譲渡に関して、乙以外の第三者と同一又は類似の事業譲渡に関する交渉を行わないものとする。ただし、甲乙協議の上、書面により合意した場合はこの限りではない。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kqv3yjl6luw7"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第7条（法的拘束力）</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本合意書は、第5条（秘密保持）、第6条（独占交渉）、第9条（準拠法及び管轄）及び本条を除き、法的拘束力を有するものではなく、最終的な事業譲渡契約の締結を約束するものではない。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595a3m1lgpcn"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第8条（有効期間）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本合意書の有効期間は、本合意書締結日から●か月間とする。ただし、期間満了前に甲乙協議の上、書面により延長することができる。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36e9v6mo6stb"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第9条（準拠法及び管轄）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本合意書は、日本法を準拠法とし、本合意書に関して生じる一切の紛争については、●●地方裁判所を第一審の専属的合意管轄裁判所とする。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ei63djdl71or"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本合意書に定めのない事項又は本合意書の解釈に疑義が生じた場合には、甲及び乙は誠意をもって協議し、円満な解決を図るものとする。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以上、本合意書締結の証として、本書二通を作成し、甲乙記名押印の上、各自一通を保有する。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