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coareq959myt" w:id="0"/>
      <w:bookmarkEnd w:id="0"/>
      <w:r w:rsidDel="00000000" w:rsidR="00000000" w:rsidRPr="00000000">
        <w:rPr>
          <w:rFonts w:ascii="Arial Unicode MS" w:cs="Arial Unicode MS" w:eastAsia="Arial Unicode MS" w:hAnsi="Arial Unicode MS"/>
          <w:b w:val="1"/>
          <w:bCs w:val="1"/>
          <w:sz w:val="44"/>
          <w:szCs w:val="44"/>
          <w:rtl w:val="0"/>
        </w:rPr>
        <w:t xml:space="preserve">フランチャイズ運営マニュアル遵守誓約書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誓約書は、フランチャイズ本部（以下「本部」という。）が定めるフランチャイズ運営マニュアルの重要性に鑑み、加盟者（以下「加盟者」という。）が、当該マニュアルを遵守することを誓約するために作成されるものであ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mxcb01mtn723"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誓約書は、加盟者が本部のフランチャイズ事業の一員として、ブランド価値および事業品質の維持向上を図るため、本部が定める運営マニュアルを誠実に遵守することを確認し、これを文書として明確化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92apu6cbcayw"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第2条（運営マニュアルの定義）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誓約書において「運営マニュアル」とは、本部が加盟者に対して提供する、業務運営、接客方法、商品またはサービスの提供方法、店舗運営、衛生管理、広告宣伝、情報管理その他フランチャイズ運営に必要な一切の指針、規程、手順書、ガイドラインをいい、その名称、形式、媒体を問わない。</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4hvfw7zc3ni5"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第3条（遵守義務）</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加盟者は、運営マニュアルの内容を十分に理解したうえで、これを誠実に遵守し、自己の責任においてフランチャイズ事業を運営するものとする。</w:t>
        <w:br w:type="textWrapping"/>
        <w:t xml:space="preserve">加盟者は、運営マニュアルに反する行為、または本部のブランド価値や信用を損なうおそれのある行為を行ってはならない。</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1vlihpuhohzm"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第4条（改定後マニュアルの適用）</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加盟者は、本部が事業環境の変化、法令改正、経営方針の変更等を理由として運営マニュアルを改定した場合、当該改定後の運営マニュアルについても、特段の合意を要することなく遵守することをあらかじめ承諾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469u4mgp29vp"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第5条（第三者への周知および管理）</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加盟者は、自己の役員、従業員、アルバイト、業務委託先その他フランチャイズ運営に関与する者に対し、運営マニュアルの内容を周知徹底し、これを遵守させる義務を負うものとする。</w:t>
        <w:br w:type="textWrapping"/>
        <w:t xml:space="preserve">この場合、当該関係者の行為については、すべて加盟者の行為とみなされる。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3uknsjfox7ak"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第6条（違反時の責任）</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加盟者が運営マニュアルに違反したことにより、本部に損害が生じた場合、加盟者は、本部に対し、当該損害を賠償する責任を負うものとする。</w:t>
        <w:br w:type="textWrapping"/>
        <w:t xml:space="preserve">また、本部は、当該違反の内容および程度に応じて、フランチャイズ契約に基づく是正指示、契約解除その他の措置を講じることができるものとする。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6guczuu2twan"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第7条（フランチャイズ契約との関係）</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本誓約書は、フランチャイズ契約の一部を構成するものとし、本誓約書に定めのない事項については、フランチャイズ契約の定めに従うものとする。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ymn37l9k92l9"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第8条（準拠法および管轄）</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本誓約書は、日本法を準拠法とし、本誓約書に関して生じる一切の紛争については、本部の本店所在地を管轄する地方裁判所を第一審の専属的合意管轄裁判所とする。</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以上の内容を十分に理解し、運営マニュアルを遵守することを誓約する。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　　月　　日</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本部名：　　　　　　　　　　　　　　</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　　　　　　　　　　　　　　</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加盟者名：　　　　　　　　　　　　　</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　　　　　　　　　　　　　　</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2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