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77ypvge2lsda" w:id="0"/>
      <w:bookmarkEnd w:id="0"/>
      <w:r w:rsidDel="00000000" w:rsidR="00000000" w:rsidRPr="00000000">
        <w:rPr>
          <w:rFonts w:ascii="Arial Unicode MS" w:cs="Arial Unicode MS" w:eastAsia="Arial Unicode MS" w:hAnsi="Arial Unicode MS"/>
          <w:b w:val="1"/>
          <w:bCs w:val="1"/>
          <w:sz w:val="44"/>
          <w:szCs w:val="44"/>
          <w:rtl w:val="0"/>
        </w:rPr>
        <w:t xml:space="preserve">加盟金・ロイヤリティ支払い確認書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本確認書は、フランチャイズ契約又はこれに準ずる業務提携契約に基づき、加盟金及びロイヤリティ等の支払い状況について、当事者間で事実関係を確認することを目的として作成するものである。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j5rv86rdssi0"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フランチャイズ本部（以下「甲」という。）と加盟店又は加盟希望者（以下「乙」という。）との間において、加盟金及びロイヤリティその他これに付随する金銭の支払い状況を確認し、後日の認識相違や紛争を未然に防止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hu9n0iunrq45"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第2条（対象契約）</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本確認書は、甲乙間で締結されたフランチャイズ契約、業務委託契約、販売代理店契約その他これに類する契約（以下「原契約」という。）に基づく金銭支払いを対象とする。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s10zvew3ygf0"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第3条（加盟金の支払い確認）</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乙は、原契約に基づき、甲に対して支払うべき加盟金について、以下のとおり支払いを完了していることを確認する。</w:t>
      </w:r>
    </w:p>
    <w:p w:rsidR="00000000" w:rsidDel="00000000" w:rsidP="00000000" w:rsidRDefault="00000000" w:rsidRPr="00000000" w14:paraId="0000000D">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支払金額</w:t>
      </w:r>
    </w:p>
    <w:p w:rsidR="00000000" w:rsidDel="00000000" w:rsidP="00000000" w:rsidRDefault="00000000" w:rsidRPr="00000000" w14:paraId="0000000E">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支払期日</w:t>
      </w:r>
    </w:p>
    <w:p w:rsidR="00000000" w:rsidDel="00000000" w:rsidP="00000000" w:rsidRDefault="00000000" w:rsidRPr="00000000" w14:paraId="0000000F">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支払方法</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前項の内容について、甲乙双方は相違がないことを確認する。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3"/>
        <w:keepNext w:val="0"/>
        <w:keepLines w:val="0"/>
        <w:spacing w:before="280" w:lineRule="auto"/>
        <w:rPr>
          <w:b w:val="1"/>
          <w:bCs w:val="1"/>
          <w:color w:val="000000"/>
          <w:sz w:val="26"/>
          <w:szCs w:val="26"/>
        </w:rPr>
      </w:pPr>
      <w:bookmarkStart w:colFirst="0" w:colLast="0" w:name="_33cnnenlk121"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第4条（ロイヤリティの支払い確認）</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乙は、原契約に基づき発生するロイヤリティについて、以下の事項を確認する。</w:t>
      </w:r>
    </w:p>
    <w:p w:rsidR="00000000" w:rsidDel="00000000" w:rsidP="00000000" w:rsidRDefault="00000000" w:rsidRPr="00000000" w14:paraId="00000014">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ロイヤリティの算定方法</w:t>
      </w:r>
    </w:p>
    <w:p w:rsidR="00000000" w:rsidDel="00000000" w:rsidP="00000000" w:rsidRDefault="00000000" w:rsidRPr="00000000" w14:paraId="00000015">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対象期間</w:t>
      </w:r>
    </w:p>
    <w:p w:rsidR="00000000" w:rsidDel="00000000" w:rsidP="00000000" w:rsidRDefault="00000000" w:rsidRPr="00000000" w14:paraId="00000016">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支払金額</w:t>
      </w:r>
    </w:p>
    <w:p w:rsidR="00000000" w:rsidDel="00000000" w:rsidP="00000000" w:rsidRDefault="00000000" w:rsidRPr="00000000" w14:paraId="00000017">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支払期日</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甲は、前項に定める内容に基づき、乙からの支払いを受領していることを確認する。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kxx5fsool0vc"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第5条（未払い又は不足金の有無）</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甲乙は、本確認書作成日時点において、加盟金及びロイヤリティについて未払い又は不足金が存在するか否かを確認する。</w:t>
        <w:br w:type="textWrapping"/>
        <w:t xml:space="preserve">未払い又は不足金が存在する場合には、その金額及び支払期限について、別途協議のうえ定めるものとする。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yptas06suuxp"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第6条（確認内容の効力）</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本確認書は、加盟金及びロイヤリティの支払い状況に関する事実確認を目的とするものであり、原契約の内容を変更、修正又は放棄するものではない。</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sbd1je8rsfc5"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第7条（将来の支払義務）</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本確認書は、将来発生する加盟金、ロイヤリティその他の支払義務について、乙を免責するものではなく、乙は原契約に基づき誠実に履行する義務を負う。</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o6hf0wkj0i91"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第8条（協議事項）</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本確認書に定めのない事項又は本確認書の解釈に疑義が生じた場合には、甲乙は誠意をもって協議し、円満な解決を図るものとする。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pPr>
      <w:bookmarkStart w:colFirst="0" w:colLast="0" w:name="_q7u9akau0jk5"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第9条（準拠法・管轄）</w:t>
      </w: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本確認書は日本法を準拠法とし、本確認書に関して生じる一切の紛争については、甲の本店所在地を管轄する地方裁判所を第一審の専属的合意管轄裁判所とする。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本確認書の成立を証するため、本書を2通作成し、甲乙記名押印のうえ、各自1通を保有する。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甲（フランチャイズ本部）</w:t>
        <w:br w:type="textWrapping"/>
        <w:t xml:space="preserve">所在地</w:t>
        <w:br w:type="textWrapping"/>
        <w:t xml:space="preserve">名称</w:t>
        <w:br w:type="textWrapping"/>
        <w:t xml:space="preserve">代表者名</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乙（加盟店）</w:t>
        <w:br w:type="textWrapping"/>
        <w:t xml:space="preserve">所在地</w:t>
        <w:br w:type="textWrapping"/>
        <w:t xml:space="preserve">名称</w:t>
        <w:br w:type="textWrapping"/>
        <w:t xml:space="preserve">代表者名</w:t>
      </w:r>
    </w:p>
    <w:p w:rsidR="00000000" w:rsidDel="00000000" w:rsidP="00000000" w:rsidRDefault="00000000" w:rsidRPr="00000000" w14:paraId="0000003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