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f0xcg6c4yo6w" w:id="0"/>
      <w:bookmarkEnd w:id="0"/>
      <w:r w:rsidDel="00000000" w:rsidR="00000000" w:rsidRPr="00000000">
        <w:rPr>
          <w:rFonts w:ascii="Arial Unicode MS" w:cs="Arial Unicode MS" w:eastAsia="Arial Unicode MS" w:hAnsi="Arial Unicode MS"/>
          <w:b w:val="1"/>
          <w:bCs w:val="1"/>
          <w:sz w:val="44"/>
          <w:szCs w:val="44"/>
          <w:rtl w:val="0"/>
        </w:rPr>
        <w:t xml:space="preserve">動産売買契約書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売主●●●●（以下「甲」という。）と、買主●●●●（以下「乙」という。）は、甲が所有する動産の売買について、次のとおり動産売買契約（以下「本契約」という。）を締結する。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u2gfdslvx53h"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本契約は、甲が乙に対し、本契約に定める動産を売り渡し、乙がこれを買い受けることについて、その条件及び権利義務関係を定めることを目的とする。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78at0yiw05z4"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第2条（売買の目的物）</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本契約の対象となる動産（以下「本件動産」という。）は、次のとおりとする。</w:t>
        <w:br w:type="textWrapping"/>
        <w:t xml:space="preserve">（1）品名・種類</w:t>
        <w:br w:type="textWrapping"/>
        <w:t xml:space="preserve">（2）数量</w:t>
        <w:br w:type="textWrapping"/>
        <w:t xml:space="preserve">（3）仕様・状態</w:t>
        <w:br w:type="textWrapping"/>
        <w:t xml:space="preserve">（4）保管場所</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本件動産の詳細については、前項の内容をもって特定されるものとし、これに付随する付属品がある場合には、別途合意のうえ明示するものとする。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frsi3iq2w9t3"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第3条（売買代金）</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本件動産の売買代金は、金●●円（消費税相当額を含む、又は含まない）とする。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乙は、前項の売買代金を、甲が指定する銀行口座に、●●年●月●日までに振込により支払うものとする。</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3n13gw3lp0uv"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第4条（引渡し）</w:t>
      </w:r>
    </w:p>
    <w:p w:rsidR="00000000" w:rsidDel="00000000" w:rsidP="00000000" w:rsidRDefault="00000000" w:rsidRPr="00000000" w14:paraId="0000001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甲は、乙に対し、●●年●月●日までに、本件動産を次の方法により引き渡すものとする。</w:t>
        <w:br w:type="textWrapping"/>
        <w:t xml:space="preserve">（1）引渡方法</w:t>
        <w:br w:type="textWrapping"/>
        <w:t xml:space="preserve">（2）引渡場所</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引渡しに要する費用は、別途合意のない限り、乙の負担とする。</w:t>
      </w:r>
    </w:p>
    <w:p w:rsidR="00000000" w:rsidDel="00000000" w:rsidP="00000000" w:rsidRDefault="00000000" w:rsidRPr="00000000" w14:paraId="0000001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50g7dlgcsvbn"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第5条（所有権の移転）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本件動産の所有権は、乙が第3条に定める売買代金の全額を支払った時点で、甲から乙に移転するものとする。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pPr>
      <w:bookmarkStart w:colFirst="0" w:colLast="0" w:name="_t3fhj7ked3q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第6条（危険負担）</w:t>
      </w: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動産の引渡し前に、甲の責めに帰すことのできない事由により、本件動産が滅失又は毀損した場合には、その損失は甲の負担とする。ただし、引渡し後に生じた滅失又は毀損については、乙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z0nkqlq3kjbe"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第7条（契約不適合責任）</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本件動産が、種類、品質又は数量に関して本契約の内容に適合しない場合、乙は、民法の定めに従い、修補、代替物の引渡し、代金減額、損害賠償又は契約解除を請求することができる。</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前項の請求は、乙が不適合を知った時から●か月以内に行うものとする。</w:t>
      </w:r>
    </w:p>
    <w:p w:rsidR="00000000" w:rsidDel="00000000" w:rsidP="00000000" w:rsidRDefault="00000000" w:rsidRPr="00000000" w14:paraId="0000001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pPr>
      <w:bookmarkStart w:colFirst="0" w:colLast="0" w:name="_7fy3qoz51qnb"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第8条（表明及び保証）</w:t>
      </w:r>
      <w:r w:rsidDel="00000000" w:rsidR="00000000" w:rsidRPr="00000000">
        <w:rPr>
          <w:rtl w:val="0"/>
        </w:rPr>
      </w:r>
    </w:p>
    <w:p w:rsidR="00000000" w:rsidDel="00000000" w:rsidP="00000000" w:rsidRDefault="00000000" w:rsidRPr="00000000" w14:paraId="0000002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甲は、本件動産について、第三者の権利を侵害していないこと、及び正当な処分権限を有していることを表明し、保証する。</w:t>
      </w:r>
    </w:p>
    <w:p w:rsidR="00000000" w:rsidDel="00000000" w:rsidP="00000000" w:rsidRDefault="00000000" w:rsidRPr="00000000" w14:paraId="0000002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乙は、本件動産の現状及び内容を確認のうえ、本契約を締結するものとする。</w:t>
      </w:r>
    </w:p>
    <w:p w:rsidR="00000000" w:rsidDel="00000000" w:rsidP="00000000" w:rsidRDefault="00000000" w:rsidRPr="00000000" w14:paraId="00000022">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cafb17a2bt9c"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乙は、本件動産について、甲の書面による事前承諾なく、第三者に譲渡、担保設定又はその他の処分をしてはならない。ただし、所有権移転後はこの限りでない。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dxcgonluab3d"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甲又は乙は、本契約に違反し、相手方に損害を与えた場合には、相手方に生じた通常かつ直接の損害について、賠償する責任を負うものとする。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qa3o7bf8o6l2"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前項の解除は、損害賠償請求を妨げない。</w:t>
      </w:r>
    </w:p>
    <w:p w:rsidR="00000000" w:rsidDel="00000000" w:rsidP="00000000" w:rsidRDefault="00000000" w:rsidRPr="00000000" w14:paraId="0000002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x570tat9ax3v"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天災地変、法令の改廃、輸送機関の事故その他当事者の合理的支配を超える事由により、本契約の全部又は一部を履行できない場合には、当該当事者はその責任を負わないものとする。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jid7sjwwqvu4"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skgqenuww3xm"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