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so44w2nfonh" w:id="0"/>
      <w:bookmarkEnd w:id="0"/>
      <w:r w:rsidDel="00000000" w:rsidR="00000000" w:rsidRPr="00000000">
        <w:rPr>
          <w:rFonts w:ascii="Arial Unicode MS" w:cs="Arial Unicode MS" w:eastAsia="Arial Unicode MS" w:hAnsi="Arial Unicode MS"/>
          <w:b w:val="1"/>
          <w:bCs w:val="1"/>
          <w:sz w:val="44"/>
          <w:szCs w:val="44"/>
          <w:rtl w:val="0"/>
        </w:rPr>
        <w:t xml:space="preserve">特許権独占的通常実施権許諾契約書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特許権について、乙に対し独占的通常実施権を許諾することに関し、以下のとおり特許権独占的通常実施権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l8kddzhdlz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本契約は、甲が保有する特許権について、乙に対し独占的通常実施権を許諾し、その実施条件、対価その他必要な事項を定めることを目的とする。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i0xe89c1l44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本特許権とは、別紙に記載する甲が保有する日本国特許権及び当該特許権に基づくすべての関連権利をいう。</w:t>
        <w:br w:type="textWrapping"/>
        <w:t xml:space="preserve">2　本発明とは、本特許権に係る発明をいう。</w:t>
        <w:br w:type="textWrapping"/>
        <w:t xml:space="preserve">3　本実施とは、本発明を製造、使用、譲渡、貸渡し、輸出入その他特許法に定める行為として実施することをいう。</w:t>
        <w:br w:type="textWrapping"/>
        <w:t xml:space="preserve">4　本契約期間とは、第14条に定める契約の有効期間をいう。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wr46zuq1fk94"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第3条（独占的通常実施権の許諾）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甲は、乙に対し、本特許権について、日本国内における独占的通常実施権を許諾する。</w:t>
        <w:br w:type="textWrapping"/>
        <w:t xml:space="preserve">2　前項の独占的通常実施権は、甲自身を含む第三者に対して、本特許権の実施を許諾しない排他的効力を有するものとする。</w:t>
        <w:br w:type="textWrapping"/>
        <w:t xml:space="preserve">3　本契約に基づく独占的通常実施権は、特許法に基づき設定登録を行うことができるものとする。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u0817sd3zb3y"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第4条（実施範囲）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乙は、本特許権を、本契約で定める目的及び範囲内においてのみ実施するものとし、契約目的を逸脱する実施を行ってはならない。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wciwry7dmf7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乙は、本契約に基づく独占的通常実施権の許諾対価として、甲に対し、別途合意する実施料を支払うものとする。</w:t>
        <w:br w:type="textWrapping"/>
        <w:t xml:space="preserve">2　実施料の算定方法、支払時期及び支払方法については、別途甲乙協議の上書面で定めるものとする。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eh3d56uw7r9t"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第6条（報告義務）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乙は、本特許権の実施状況について、甲から求めがあった場合には、合理的な範囲で書面による報告を行うものとする。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9qn8bkbvaj8g"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第7条（再許諾の禁止）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乙は、甲の事前の書面による承諾なく、本契約に基づく独占的通常実施権を第三者に再許諾してはならない。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yz80seom5l50"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第8条（権利帰属）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本特許権に関する一切の権利は、甲に帰属するものとする。</w:t>
        <w:br w:type="textWrapping"/>
        <w:t xml:space="preserve">2　本契約に基づく独占的通常実施権の許諾は、本特許権の譲渡又は持分の移転を意味するものではない。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263b10pxujgx"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第9条（改良発明）</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本特許権に関連して生じた改良発明の取扱いについては、甲乙協議の上、別途定めるものとする。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auvl4dn02mpd"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第10条（保証及び責任制限）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甲は、本特許権が第三者の権利を侵害しないことについて、明示又は黙示を問わず、いかなる保証も行わない。</w:t>
        <w:br w:type="textWrapping"/>
        <w:t xml:space="preserve">2　本契約に関連して乙に損害が生じた場合であっても、甲は、甲の故意又は重過失による場合を除き、一切の責任を負わないものとする。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8g1x9uaxrjld"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甲及び乙は、本契約に関連して知り得た相手方の技術情報、営業情報その他一切の非公開情報を、第三者に開示又は漏えいしてはならない。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dm8m67lirju3"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reb5nhc3vmz"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第13条（契約終了後の取扱い）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本契約が終了した場合、乙は直ちに本特許権の実施を中止するものとする。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pnpzsbtdyylt"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本契約の有効期間は、本契約締結日から本特許権の存続期間満了日までとする。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apeek971kdy4"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udq8ytq3cbde"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本契約は、日本法を準拠法とし、本契約に関して生じる一切の紛争については、東京地方裁判所を第一審の専属的合意管轄裁判所とする。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　　　　　　　　　印</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