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rvgkha1syz6" w:id="0"/>
      <w:bookmarkEnd w:id="0"/>
      <w:r w:rsidDel="00000000" w:rsidR="00000000" w:rsidRPr="00000000">
        <w:rPr>
          <w:rFonts w:ascii="Arial Unicode MS" w:cs="Arial Unicode MS" w:eastAsia="Arial Unicode MS" w:hAnsi="Arial Unicode MS"/>
          <w:b w:val="1"/>
          <w:bCs w:val="1"/>
          <w:sz w:val="44"/>
          <w:szCs w:val="44"/>
          <w:rtl w:val="0"/>
        </w:rPr>
        <w:t xml:space="preserve">任意後見契約公正証書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契約（以下「本契約」という。）は、将来、本人の判断能力が不十分となった場合に備え、本人があらかじめ信頼できる者に対し、自己の生活、療養看護及び財産管理に関する事務を委任することを目的として、民法及び任意後見契約に関する法律に基づき締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本契約は、公正証書により作成され、家庭裁判所により任意後見監督人が選任されたときに効力を生ずるものとする。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lmcbcz2sua5c"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第1条（当事者）</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本契約の当事者は、次のとおりとする。</w:t>
        <w:br w:type="textWrapping"/>
        <w:t xml:space="preserve">本人：〇〇〇〇</w:t>
        <w:br w:type="textWrapping"/>
        <w:t xml:space="preserve">任意後見受任者：〇〇〇〇</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exk4cqvinv6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第2条（契約の目的）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本人は、自己の判断能力が将来低下した場合に備え、生活、療養看護及び財産管理に関する事務を、本人の意思を尊重しつつ適切に処理させることを目的として、本契約を締結する。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w2okfsw5qp7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第3条（任意後見事務の内容）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本人は、任意後見受任者に対し、次に掲げる事務を委任する。</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本人の生活全般に関する事項の処理</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医療、介護、福祉サービスの利用契約及びこれに付随する事務</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住居の維持管理、入退去に関する契約事務</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預貯金の管理、入出金、支払その他の財産管理に関する事務</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年金、保険金、給付金等の受領に関する事務</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公租公課、医療費、生活費その他の支払に関する事務</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その他前各号に付随又は関連する一切の事務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gza9lf4jpr12"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第4条（代理権の範囲）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任意後見受任者は、前条に定める任意後見事務を行うために必要な範囲において、本人を代理する権限を有するものとする。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jk45ouw2lo6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第5条（契約の効力発生）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本契約は、本人の判断能力が不十分な状態にあることについて家庭裁判所が認定し、任意後見監督人が選任された時から効力を生ずるものとする。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bv7p4rjfpvmf"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第6条（任意後見受任者の義務）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任意後見受任者は、善良な管理者の注意をもって、本人の利益を最優先に任意後見事務を遂行しなければならない。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1pmqwshd9zw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第7条（身上配慮義務）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任意後見受任者は、任意後見事務の遂行にあたり、本人の心身の状態、生活状況、従前の生活様式及び本人の意思を十分に尊重しなければならない。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8lxzba3drpv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第8条（報告義務）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任意後見受任者は、任意後見監督人の求めに応じ、任意後見事務の内容及び財産状況について、適切に報告するものとする。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647cjcc9814p"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第9条（報酬）</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本人は、任意後見受任者に対し、任意後見事務の対価として、別途協議のうえ定める報酬を支払うことができるものとする。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ubost4itgof6"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第10条（費用の負担）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任意後見事務の遂行に必要な費用は、本人の負担とする。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x75zi1y2l0mp"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本人は、判断能力が十分にある間に限り、いつでも本契約の全部又は一部を公正証書により解除することができる。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1tcyggg2broy"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第12条（任意後見受任者の辞任）</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任意後見受任者は、正当な理由がある場合に限り、家庭裁判所の許可を得て辞任することができる。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d7g15u28to0f"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第13条（契約の終了）</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本契約は、次のいずれかに該当した場合に終了する。</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本人が死亡したとき</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家庭裁判所により法定後見が開始されたとき</w:t>
      </w:r>
    </w:p>
    <w:p w:rsidR="00000000" w:rsidDel="00000000" w:rsidP="00000000" w:rsidRDefault="00000000" w:rsidRPr="00000000" w14:paraId="0000003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その他法令により終了事由が生じたとき</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rn2r31h9xkxq"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本契約に定めのない事項又は解釈に疑義が生じた場合には、本人、任意後見受任者及び任意後見監督人は、誠意をもって協議し解決を図るものとする。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47hdnind6ch7"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nuoca8yj2jy"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第16条（公正証書の作成）</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本契約は、任意後見契約に関する法律に基づき、公正証書として作成するものとする。</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