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1fn3w4ve9h24" w:id="0"/>
      <w:bookmarkEnd w:id="0"/>
      <w:r w:rsidDel="00000000" w:rsidR="00000000" w:rsidRPr="00000000">
        <w:rPr>
          <w:rFonts w:ascii="Arial Unicode MS" w:cs="Arial Unicode MS" w:eastAsia="Arial Unicode MS" w:hAnsi="Arial Unicode MS"/>
          <w:b w:val="1"/>
          <w:bCs w:val="1"/>
          <w:sz w:val="44"/>
          <w:szCs w:val="44"/>
          <w:rtl w:val="0"/>
        </w:rPr>
        <w:t xml:space="preserve">金銭消費貸借抵当権設定契約書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以下「甲」という。）と、借主●●（以下「乙」という。）は、乙が甲から金銭を借り入れることに伴い、当該債務の担保として抵当権を設定することについて、以下のとおり金銭消費貸借抵当権設定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tddbezqw1ho3"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第1条（金銭消費貸借）</w:t>
      </w:r>
    </w:p>
    <w:p w:rsidR="00000000" w:rsidDel="00000000" w:rsidP="00000000" w:rsidRDefault="00000000" w:rsidRPr="00000000" w14:paraId="0000000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甲は、本契約締結日付で、乙に対し、金●●円を貸し渡し、乙はこれを受領した。</w:t>
      </w:r>
    </w:p>
    <w:p w:rsidR="00000000" w:rsidDel="00000000" w:rsidP="00000000" w:rsidRDefault="00000000" w:rsidRPr="00000000" w14:paraId="00000007">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乙は、前項の借入金を、本契約の定めに従い、甲に返済するものとする。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19vd4w50d4pd"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第2条（返済方法および期限）</w:t>
      </w:r>
    </w:p>
    <w:p w:rsidR="00000000" w:rsidDel="00000000" w:rsidP="00000000" w:rsidRDefault="00000000" w:rsidRPr="00000000" w14:paraId="0000000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乙は、前条の借入金について、●年●月●日限り、甲に対し一括して返済するものとする。</w:t>
      </w:r>
    </w:p>
    <w:p w:rsidR="00000000" w:rsidDel="00000000" w:rsidP="00000000" w:rsidRDefault="00000000" w:rsidRPr="00000000" w14:paraId="0000000B">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返済方法は、甲指定の金融機関口座への振込によるものとし、振込手数料は乙の負担とする。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qwnejgptils"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第3条（利息）</w:t>
      </w:r>
    </w:p>
    <w:p w:rsidR="00000000" w:rsidDel="00000000" w:rsidP="00000000" w:rsidRDefault="00000000" w:rsidRPr="00000000" w14:paraId="0000000E">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本件借入金には、年●％の割合による利息を付すものとする。</w:t>
      </w:r>
    </w:p>
    <w:p w:rsidR="00000000" w:rsidDel="00000000" w:rsidP="00000000" w:rsidRDefault="00000000" w:rsidRPr="00000000" w14:paraId="0000000F">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利息は、元本返済期日に、元本とあわせて支払うものとする。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ugtxg03shsv0"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第4条（遅延損害金）</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乙が本契約に基づく金銭債務の履行を怠った場合には、支払期日の翌日から完済に至るまで、年●％の割合による遅延損害金を支払うものとする。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rlskhyujrtdh"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第5条（期限の利益喪失）</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乙が次の各号のいずれかに該当した場合には、何らの通知または催告を要せず、乙は当然に期限の利益を失い、直ちに本契約に基づく一切の債務を弁済しなければならない。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本契約に基づく支払を一部でも怠ったとき</w:t>
        <w:br w:type="textWrapping"/>
        <w:t xml:space="preserve">(2) 差押え、仮差押え、仮処分、競売の申立てを受けたとき</w:t>
        <w:br w:type="textWrapping"/>
        <w:t xml:space="preserve">(3) 破産、民事再生、会社更生その他これに類する手続の申立てをしたとき、またはされたとき</w:t>
        <w:br w:type="textWrapping"/>
        <w:t xml:space="preserve">(4) 信用状態が著しく悪化したと甲が合理的に判断したとき</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ib9agb553xaw"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第6条（抵当権設定）</w:t>
      </w:r>
    </w:p>
    <w:p w:rsidR="00000000" w:rsidDel="00000000" w:rsidP="00000000" w:rsidRDefault="00000000" w:rsidRPr="00000000" w14:paraId="0000001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基づく乙の甲に対する一切の債務（以下「被担保債権」という。）を担保するため、次条記載の不動産（以下「本件不動産」という。）について、甲を抵当権者とする第一順位の抵当権を設定する。</w:t>
      </w:r>
    </w:p>
    <w:p w:rsidR="00000000" w:rsidDel="00000000" w:rsidP="00000000" w:rsidRDefault="00000000" w:rsidRPr="00000000" w14:paraId="0000001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本抵当権は、被担保債権の元本、利息、遅延損害金および本契約に関連して生じる一切の費用を担保する。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nsrtu3p242xn"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第7条（抵当不動産の表示）</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w:t>
        <w:br w:type="textWrapping"/>
        <w:t xml:space="preserve">地番：●●</w:t>
        <w:br w:type="textWrapping"/>
        <w:t xml:space="preserve">地目：●●</w:t>
        <w:br w:type="textWrapping"/>
        <w:t xml:space="preserve">地積：●●</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（建物がある場合）</w:t>
        <w:br w:type="textWrapping"/>
        <w:t xml:space="preserve">所在：●●</w:t>
        <w:br w:type="textWrapping"/>
        <w:t xml:space="preserve">家屋番号：●●</w:t>
        <w:br w:type="textWrapping"/>
        <w:t xml:space="preserve">構造・床面積：●●</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xgmrmwgpl1wk"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第8条（抵当権設定登記）</w:t>
      </w:r>
    </w:p>
    <w:p w:rsidR="00000000" w:rsidDel="00000000" w:rsidP="00000000" w:rsidRDefault="00000000" w:rsidRPr="00000000" w14:paraId="0000002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乙は、本契約締結後速やかに、本抵当権設定登記を行うものとする。</w:t>
      </w:r>
    </w:p>
    <w:p w:rsidR="00000000" w:rsidDel="00000000" w:rsidP="00000000" w:rsidRDefault="00000000" w:rsidRPr="00000000" w14:paraId="00000022">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前項の登記に要する費用は、すべて乙の負担とする。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txwzhm8k6mwc"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第9条（処分の禁止）</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乙は、本件不動産について、甲の書面による事前承諾なく、譲渡、賃貸、担保設定その他一切の処分行為を行ってはならない。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e0tveohtlx4y"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第10条（担保価値の維持）</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乙は、本件不動産の価値を維持するよう善良なる管理者の注意をもって管理し、担保価値を減少させる行為を行ってはならない。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pc4edzmhf31l"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第11条（抵当権の実行）</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乙が本契約に基づく債務を履行しない場合、甲は、法令に従い、本抵当権を実行し、その換価代金から被担保債権の弁済を受けることができる。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g1a6pinu9lzb"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乙が本契約に違反し、相当期間を定めて是正を求めてもなお当該違反が是正されない場合、甲は、本契約の全部または一部を解除することができる。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yooe48sry9g3"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本契約に定めのない事項または本契約の解釈に疑義が生じた場合には、甲乙誠意をもって協議し、円満に解決するものとする。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cstu6ifa26bd"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第14条（準拠法および管轄）</w:t>
      </w:r>
    </w:p>
    <w:p w:rsidR="00000000" w:rsidDel="00000000" w:rsidP="00000000" w:rsidRDefault="00000000" w:rsidRPr="00000000" w14:paraId="00000034">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35">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本契約に関して生じる一切の紛争については、甲の住所地を管轄する地方裁判所を第一審の専属的合意管轄裁判所とする。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甲（貸主）</w:t>
        <w:br w:type="textWrapping"/>
        <w:t xml:space="preserve">住所：</w:t>
        <w:br w:type="textWrapping"/>
        <w:t xml:space="preserve">氏名：　　　　　　　　　　　　印</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乙（借主）</w:t>
        <w:br w:type="textWrapping"/>
        <w:t xml:space="preserve">住所：</w:t>
        <w:br w:type="textWrapping"/>
        <w:t xml:space="preserve">氏名：　　　　　　　　　　　　印</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