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b7pvv1vqqzt" w:id="0"/>
      <w:bookmarkEnd w:id="0"/>
      <w:r w:rsidDel="00000000" w:rsidR="00000000" w:rsidRPr="00000000">
        <w:rPr>
          <w:rFonts w:ascii="Arial Unicode MS" w:cs="Arial Unicode MS" w:eastAsia="Arial Unicode MS" w:hAnsi="Arial Unicode MS"/>
          <w:b w:val="1"/>
          <w:bCs w:val="1"/>
          <w:sz w:val="44"/>
          <w:szCs w:val="44"/>
          <w:rtl w:val="0"/>
        </w:rPr>
        <w:t xml:space="preserve">開業支援覚書（内装・備品提供等）</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行う事業の開業に関し、甲が内装工事、設備、備品その他の支援を行うことについて、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q1f8vrefle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本覚書は、乙が新たに行う事業の円滑な開業及び安定的な運営を目的として、甲が乙に対して提供する内装、設備、備品その他の支援内容並びにその条件を明確にすることを目的とする。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7ffd6b59lxfn"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第2条（支援内容）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甲は、乙の開業支援として、次に掲げる支援の全部又は一部を行うものとする。</w:t>
        <w:br w:type="textWrapping"/>
        <w:t xml:space="preserve">1 内装工事の企画、設計、施工又はこれらの手配</w:t>
        <w:br w:type="textWrapping"/>
        <w:t xml:space="preserve">2 事業運営に必要な什器、機械、設備、備品等の提供又は貸与</w:t>
        <w:br w:type="textWrapping"/>
        <w:t xml:space="preserve">3 開業準備に関する助言、指導その他の支援</w:t>
        <w:br w:type="textWrapping"/>
        <w:t xml:space="preserve">4 前各号に付随する業務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twdkerfddc2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第3条（費用負担）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前条に定める支援に要する費用の負担区分は、別途甲乙協議のうえ定めるものとする。</w:t>
        <w:br w:type="textWrapping"/>
        <w:t xml:space="preserve">2 甲が費用の全部又は一部を負担する場合であっても、当該負担は乙に対する出資、贈与又は債務免除を意味するものではない。</w:t>
        <w:br w:type="textWrapping"/>
        <w:t xml:space="preserve">3 乙は、自己の責に帰すべき事由により追加費用が生じた場合、その費用を負担するものとする。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7czk64lb83tn"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第4条（内装・備品等の所有権）</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甲が提供又は設置した内装、設備及び備品等の所有権は、別途合意のない限り、甲に帰属するものとする。</w:t>
        <w:br w:type="textWrapping"/>
        <w:t xml:space="preserve">2 乙は、前項の内装、設備及び備品等について、善良な管理者の注意をもって使用及び管理するものとする。</w:t>
        <w:br w:type="textWrapping"/>
        <w:t xml:space="preserve">3 乙は、甲の事前の書面による承諾なく、内装、設備又は備品等を第三者に譲渡、転貸、担保設定その他の処分をしてはならない。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mevn62n7o5ho"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第5条（使用期間及び返還）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甲が提供する内装、設備又は備品等の使用期間は、別途定める期間とする。</w:t>
        <w:br w:type="textWrapping"/>
        <w:t xml:space="preserve">2 本覚書が終了した場合、又は甲から返還を求められた場合、乙は、甲の指示に従い、内装、設備及び備品等を原状回復のうえ返還するものとする。ただし、通常の使用による損耗については、この限りではない。</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nm43mh3jy346"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乙は、次に掲げる行為をしてはならない。</w:t>
        <w:br w:type="textWrapping"/>
        <w:t xml:space="preserve">1 甲の信用又は名誉を毀損する行為</w:t>
        <w:br w:type="textWrapping"/>
        <w:t xml:space="preserve">2 支援内容を本覚書の目的以外に利用する行為</w:t>
        <w:br w:type="textWrapping"/>
        <w:t xml:space="preserve">3 法令又は公序良俗に反する行為</w:t>
        <w:br w:type="textWrapping"/>
        <w:t xml:space="preserve">4 その他甲が不適切と合理的に判断する行為</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tw2nmsw4xebx"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第7条（責任の範囲）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甲は、本覚書に基づく支援について、乙の事業の成功、収益性又は継続性を保証するものではない。</w:t>
        <w:br w:type="textWrapping"/>
        <w:t xml:space="preserve">2 本覚書に関連して乙に損害が生じた場合であっても、甲の故意又は重過失による場合を除き、甲は一切の責任を負わない。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lnci26a9log"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甲及び乙は、本覚書に関連して知り得た相手方の営業上又は技術上その他の非公開情報を、第三者に開示又は漏えいしてはならない。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kx94ob9628r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第9条（有効期間）</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本覚書の有効期間は、本覚書締結日から●年間とする。ただし、期間満了前であっても、甲乙協議のうえ合意により終了させることができる。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614vgab4a0ij"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甲又は乙は、相手方が本覚書に違反し、相当期間を定めて是正を求めてもなお改善されない場合には、本覚書の全部又は一部を解除することができる。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7liocsapq5o4"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本覚書に定めのない事項又は本覚書の解釈に疑義が生じた場合には、甲乙は誠意をもって協議し、円満に解決を図るものとする。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jxwu2qngcer5"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本覚書に関して生じた紛争については、甲の本店所在地を管轄する地方裁判所を第一審の専属的合意管轄裁判所とする。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本覚書締結の証として、本書二通を作成し、甲乙記名押印のうえ、各自一通を保有する。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w:t>
        <w:br w:type="textWrapping"/>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