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u06yb23g9nc3" w:id="0"/>
      <w:bookmarkEnd w:id="0"/>
      <w:r w:rsidDel="00000000" w:rsidR="00000000" w:rsidRPr="00000000">
        <w:rPr>
          <w:rFonts w:ascii="Arial Unicode MS" w:cs="Arial Unicode MS" w:eastAsia="Arial Unicode MS" w:hAnsi="Arial Unicode MS"/>
          <w:b w:val="1"/>
          <w:bCs w:val="1"/>
          <w:sz w:val="44"/>
          <w:szCs w:val="44"/>
          <w:rtl w:val="0"/>
        </w:rPr>
        <w:t xml:space="preserve">贈与契約書（現金）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贈与者●●●●（以下「甲」という。）と、受贈者●●●●（以下「乙」という。）は、甲が乙に対し現金を贈与することについて、次のとおり贈与契約（以下「本契約」という。）を締結する。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5wkmebcrexr6"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第1条（贈与の内容）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甲は、乙に対し、金●●円の現金（以下「本贈与金」という。）を無償で贈与し、乙はこれを受諾する。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fmlycem1q8mx"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第2条（贈与の方法）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甲は、本贈与金を、●●年●月●日までに、次のいずれかの方法により乙に交付するものとする。</w:t>
        <w:br w:type="textWrapping"/>
        <w:t xml:space="preserve">一　乙指定の金融機関口座への振込</w:t>
        <w:br w:type="textWrapping"/>
        <w:t xml:space="preserve">二　甲から乙への現金手渡し</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前項に基づき振込により贈与を行う場合、振込手数料は甲の負担とする。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yyg2a6pgd0w3"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第3条（贈与の効力発生時期）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本贈与金の交付が完了した時点で、本贈与の効力は確定的に生じるものとする。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4h0bd2lk3xpv"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第4条（解除）</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本契約は、民法の定めにより、書面によらない贈与として取り扱われる場合には、本贈与金の交付が完了するまでの間、甲は本契約の全部又は一部を解除することができる。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bq7ypvjsuv6a"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第5条（負担付贈与の不存在）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本契約に基づく贈与は、乙に対して何らの義務又は負担を課すものではなく、負担付贈与には該当しないものとする。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kt6ayibwc9kd"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第6条（税務上の取扱い）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甲及び乙は、本贈与に関して発生し得る贈与税その他の税金について、法令に従い各自の責任と負担において適切に申告及び納付を行うものとする。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nz9owkodxram"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第7条（保証の否認）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甲は、本贈与金の使用目的、経済的効果その他一切について、乙に対し何らの保証も行うものではない。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chqbakch0t70"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第8条（反社会的勢力の排除）</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甲及び乙は、自らが反社会的勢力に該当せず、また将来にわたっても該当しないことを表明し保証する。</w:t>
        <w:br w:type="textWrapping"/>
        <w:t xml:space="preserve">本条に違反した場合、相手方は何らの催告を要せず本契約の全部又は一部を解除することができる。</w:t>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x9z1ajr2jks6"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第9条（協議解決）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本契約に定めのない事項又は本契約の解釈について疑義が生じた場合には、甲乙誠意をもって協議し、円満に解決を図るものとする。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dq81qmbd9eus"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本契約は、日本法を準拠法とし、本契約に関して生じる一切の紛争については、甲の住所地を管轄する地方裁判所を第一審の専属的合意管轄裁判所とする。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