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bicgzz3jkikq" w:id="0"/>
      <w:bookmarkEnd w:id="0"/>
      <w:r w:rsidDel="00000000" w:rsidR="00000000" w:rsidRPr="00000000">
        <w:rPr>
          <w:rFonts w:ascii="Arial Unicode MS" w:cs="Arial Unicode MS" w:eastAsia="Arial Unicode MS" w:hAnsi="Arial Unicode MS"/>
          <w:b w:val="1"/>
          <w:bCs w:val="1"/>
          <w:sz w:val="44"/>
          <w:szCs w:val="44"/>
          <w:rtl w:val="0"/>
        </w:rPr>
        <w:t xml:space="preserve">金銭借用証書（一括払い）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貸主●●（以下「甲」という。）と、借主●●（以下「乙」という。）は、乙が甲から金銭を借り入れることについて、次のとおり金銭借用証書（以下「本証書」という。）を作成する。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9q5i4evo76kx"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第1条（借入金額および交付）</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乙は、甲から、金●●円を借り受け、甲はこれを乙に交付したことを相互に確認する。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2xt6qe3sbffz"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第2条（返済方法および期限）</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乙は、前条の借入金について、●●年●月●日までに、元金全額を一括して、甲指定の銀行口座へ振込みにより返済するものとする。</w:t>
        <w:br w:type="textWrapping"/>
        <w:t xml:space="preserve">振込手数料は乙の負担とする。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qa9yigikfw9m"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第3条（利息）</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本件借入金には、利息を付さないものとする。</w:t>
        <w:br w:type="textWrapping"/>
        <w:t xml:space="preserve">ただし、当事者間で別途合意した場合は、この限りではない。</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4pbdicn7o9bl"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第4条（期限の利益の喪失）</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乙が、次の各号のいずれかに該当した場合、乙は当然に期限の利益を失い、甲は乙に対し、直ちに借入金全額の返済を請求することができる。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一　返済期限を経過しても、借入金の全部または一部の返済を行わないとき</w:t>
        <w:br w:type="textWrapping"/>
        <w:t xml:space="preserve">二　虚偽の申告その他不正な行為により本証書を締結したことが判明したとき</w:t>
        <w:br w:type="textWrapping"/>
        <w:t xml:space="preserve">三　差押え、仮差押え、仮処分、破産、民事再生その他これに類する申立てを受け、または自らこれを申し立てたとき</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hjs1vcx5b033"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第5条（遅延損害金）</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乙が返済期限を経過してもなお借入金の返済を行わない場合、乙は、返済期日の翌日から完済に至るまで、年●●％の割合による遅延損害金を支払うものとする。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hgwzv9xr8lo"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第6条（弁済充当の順序）</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乙が支払った金銭が、本証書に基づく債務の全額に満たない場合には、甲は、遅延損害金、元金の順に充当することができるものとする。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c9ohqoja9k7d"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第7条（保証人）</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本証書に基づく乙の債務について、連帯保証人を定める場合には、別途書面により合意するものとする。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4yph7x9k801w"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第8条（合意管轄）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本証書に関して甲乙間に生じた紛争については、甲の住所地を管轄する地方裁判所を第一審の専属的合意管轄裁判所とする。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7yb2pkrsdkb6"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第9条（協議事項）</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本証書に定めのない事項、または本証書の解釈に疑義が生じた場合には、甲乙誠意をもって協議し、円満に解決を図るものとする。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本証書の成立を証するため、本書を二通作成し、甲乙署名押印の上、各自一通を保有する。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【貸主（甲）】</w:t>
        <w:br w:type="textWrapping"/>
        <w:t xml:space="preserve">住所：</w:t>
        <w:br w:type="textWrapping"/>
        <w:t xml:space="preserve">氏名：</w:t>
        <w:br w:type="textWrapping"/>
        <w:t xml:space="preserve">署名：　　　　　　　　　　　　印</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【借主（乙）】</w:t>
        <w:br w:type="textWrapping"/>
        <w:t xml:space="preserve">住所：</w:t>
        <w:br w:type="textWrapping"/>
        <w:t xml:space="preserve">氏名：</w:t>
        <w:br w:type="textWrapping"/>
        <w:t xml:space="preserve">署名：　　　　　　　　　　　　印</w:t>
      </w:r>
    </w:p>
    <w:p w:rsidR="00000000" w:rsidDel="00000000" w:rsidP="00000000" w:rsidRDefault="00000000" w:rsidRPr="00000000" w14:paraId="0000002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