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34"/>
          <w:szCs w:val="34"/>
        </w:rPr>
      </w:pPr>
      <w:bookmarkStart w:colFirst="0" w:colLast="0" w:name="_jniqxaz4l3qu" w:id="0"/>
      <w:bookmarkEnd w:id="0"/>
      <w:r w:rsidDel="00000000" w:rsidR="00000000" w:rsidRPr="00000000">
        <w:rPr>
          <w:rFonts w:ascii="Arial Unicode MS" w:cs="Arial Unicode MS" w:eastAsia="Arial Unicode MS" w:hAnsi="Arial Unicode MS"/>
          <w:b w:val="1"/>
          <w:bCs w:val="1"/>
          <w:sz w:val="34"/>
          <w:szCs w:val="34"/>
          <w:rtl w:val="0"/>
        </w:rPr>
        <w:t xml:space="preserve">集合債権譲渡契約書 別紙</w:t>
      </w:r>
    </w:p>
    <w:p w:rsidR="00000000" w:rsidDel="00000000" w:rsidP="00000000" w:rsidRDefault="00000000" w:rsidRPr="00000000" w14:paraId="00000002">
      <w:pPr>
        <w:pStyle w:val="Heading3"/>
        <w:keepNext w:val="0"/>
        <w:keepLines w:val="0"/>
        <w:spacing w:before="280" w:lineRule="auto"/>
        <w:jc w:val="center"/>
        <w:rPr>
          <w:b w:val="1"/>
          <w:bCs w:val="1"/>
          <w:color w:val="000000"/>
          <w:sz w:val="26"/>
          <w:szCs w:val="26"/>
        </w:rPr>
      </w:pPr>
      <w:bookmarkStart w:colFirst="0" w:colLast="0" w:name="_5nasp3j3i10k" w:id="1"/>
      <w:bookmarkEnd w:id="1"/>
      <w:r w:rsidDel="00000000" w:rsidR="00000000" w:rsidRPr="00000000">
        <w:rPr>
          <w:rFonts w:ascii="Arial Unicode MS" w:cs="Arial Unicode MS" w:eastAsia="Arial Unicode MS" w:hAnsi="Arial Unicode MS"/>
          <w:b w:val="1"/>
          <w:bCs w:val="1"/>
          <w:color w:val="000000"/>
          <w:sz w:val="26"/>
          <w:szCs w:val="26"/>
          <w:rtl w:val="0"/>
        </w:rPr>
        <w:t xml:space="preserve">譲渡債権の表示</w:t>
      </w:r>
    </w:p>
    <w:p w:rsidR="00000000" w:rsidDel="00000000" w:rsidP="00000000" w:rsidRDefault="00000000" w:rsidRPr="00000000" w14:paraId="00000003">
      <w:pPr>
        <w:spacing w:after="240" w:before="240" w:lineRule="auto"/>
        <w:rPr>
          <w:sz w:val="20"/>
          <w:szCs w:val="20"/>
        </w:rPr>
      </w:pPr>
      <w:r w:rsidDel="00000000" w:rsidR="00000000" w:rsidRPr="00000000">
        <w:rPr>
          <w:rtl w:val="0"/>
        </w:rPr>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本契約に基づき、譲渡人が譲受人に対して譲渡する債権は、以下に定める債権の集合とする。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w7rpqalz6zid"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第1　譲渡対象となる債権の範囲</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譲渡の対象となる債権は、譲渡人が、本契約締結日以前または本契約締結日以後において、第三者（以下「債務者」という）に対して有する金銭債権のうち、次の各号のすべての要件を満たすものとする。</w:t>
      </w:r>
    </w:p>
    <w:p w:rsidR="00000000" w:rsidDel="00000000" w:rsidP="00000000" w:rsidRDefault="00000000" w:rsidRPr="00000000" w14:paraId="00000008">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譲渡人が、自己の事業として提供する商品または役務に基づき発生した売掛金、請負代金債権、業務委託報酬債権その他これらに類する金銭債権であること</w:t>
      </w:r>
    </w:p>
    <w:p w:rsidR="00000000" w:rsidDel="00000000" w:rsidP="00000000" w:rsidRDefault="00000000" w:rsidRPr="00000000" w14:paraId="0000000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弁済期が到来しているか、または将来到来することが確定している金銭債権であること</w:t>
      </w:r>
    </w:p>
    <w:p w:rsidR="00000000" w:rsidDel="00000000" w:rsidP="00000000" w:rsidRDefault="00000000" w:rsidRPr="00000000" w14:paraId="0000000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法令または当該債権の発生原因となる契約により、譲渡が禁止または制限されていないこと</w:t>
      </w:r>
    </w:p>
    <w:p w:rsidR="00000000" w:rsidDel="00000000" w:rsidP="00000000" w:rsidRDefault="00000000" w:rsidRPr="00000000" w14:paraId="0000000B">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本契約に基づき、譲渡人が譲受人に対して譲渡することを特定できる債権であること</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yof5v0xkcdkw"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第2　債権の特定方法</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前条の譲渡債権は、以下の事項をもって特定されるものとする。</w:t>
      </w:r>
    </w:p>
    <w:p w:rsidR="00000000" w:rsidDel="00000000" w:rsidP="00000000" w:rsidRDefault="00000000" w:rsidRPr="00000000" w14:paraId="0000000F">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債務者の名称または氏名</w:t>
      </w:r>
    </w:p>
    <w:p w:rsidR="00000000" w:rsidDel="00000000" w:rsidP="00000000" w:rsidRDefault="00000000" w:rsidRPr="00000000" w14:paraId="00000010">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債務者に対する債権の発生原因となる取引内容</w:t>
      </w:r>
    </w:p>
    <w:p w:rsidR="00000000" w:rsidDel="00000000" w:rsidP="00000000" w:rsidRDefault="00000000" w:rsidRPr="00000000" w14:paraId="00000011">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債権の発生年月日</w:t>
      </w:r>
    </w:p>
    <w:p w:rsidR="00000000" w:rsidDel="00000000" w:rsidP="00000000" w:rsidRDefault="00000000" w:rsidRPr="00000000" w14:paraId="0000001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債権金額またはその算定方法</w:t>
      </w:r>
    </w:p>
    <w:p w:rsidR="00000000" w:rsidDel="00000000" w:rsidP="00000000" w:rsidRDefault="00000000" w:rsidRPr="00000000" w14:paraId="00000013">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弁済期または支払期限</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なお、これらの事項は、譲渡人が管理する帳簿、請求書、契約書、取引記録その他合理的な方法により特定できるものとし、それらの資料は本契約の一部を構成するものとする。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gat080ds00bq"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第3　将来債権に関する特約</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本別紙に基づき譲渡の対象となる債権には、本契約締結日以後に発生する将来債権を含むものとし、当該将来債権は、発生と同時に本契約に基づき当然に譲受人に帰属するものとする。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leihxwlvhkv"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第4　除外債権</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次の各号のいずれかに該当する債権は、本別紙に基づく譲渡債権には含まれないものとする。</w:t>
      </w:r>
    </w:p>
    <w:p w:rsidR="00000000" w:rsidDel="00000000" w:rsidP="00000000" w:rsidRDefault="00000000" w:rsidRPr="00000000" w14:paraId="0000001B">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譲渡禁止特約が付されており、当該特約が有効と認められる債権</w:t>
      </w:r>
    </w:p>
    <w:p w:rsidR="00000000" w:rsidDel="00000000" w:rsidP="00000000" w:rsidRDefault="00000000" w:rsidRPr="00000000" w14:paraId="0000001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差押え、仮差押え、仮処分その他第三者の権利が設定されている債権</w:t>
      </w:r>
    </w:p>
    <w:p w:rsidR="00000000" w:rsidDel="00000000" w:rsidP="00000000" w:rsidRDefault="00000000" w:rsidRPr="00000000" w14:paraId="0000001D">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既に消滅している債権、または無効であることが判明している債権</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42nhyqt3mhl4"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第5　本別紙の位置付け</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本別紙は、集合債権譲渡契約書の一部を構成するものとし、本契約本文と本別紙の内容が矛盾または抵触する場合には、本契約本文の定めが優先して適用されるものとする。</w:t>
      </w:r>
    </w:p>
    <w:p w:rsidR="00000000" w:rsidDel="00000000" w:rsidP="00000000" w:rsidRDefault="00000000" w:rsidRPr="00000000" w14:paraId="0000002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