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1eh3m8534v" w:id="0"/>
      <w:bookmarkEnd w:id="0"/>
      <w:r w:rsidDel="00000000" w:rsidR="00000000" w:rsidRPr="00000000">
        <w:rPr>
          <w:rFonts w:ascii="Arial Unicode MS" w:cs="Arial Unicode MS" w:eastAsia="Arial Unicode MS" w:hAnsi="Arial Unicode MS"/>
          <w:b w:val="1"/>
          <w:bCs w:val="1"/>
          <w:sz w:val="44"/>
          <w:szCs w:val="44"/>
          <w:rtl w:val="0"/>
        </w:rPr>
        <w:t xml:space="preserve">債権譲渡契約書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（動産・債権譲渡特例法対応型）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譲渡人●●●●（以下 甲 という）と、譲受人●●●●（以下 乙 という）は、次のとおり債権譲渡契約（以下 本契約 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37r55jo5a9o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本契約は、甲が有する債権を乙に譲渡することに関し、その条件及び当事者間の権利義務関係を明確に定めることを目的とする。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lmqidivotmpp" w:id="2"/>
      <w:bookmarkEnd w:id="2"/>
      <w:r w:rsidDel="00000000" w:rsidR="00000000" w:rsidRPr="00000000">
        <w:rPr>
          <w:rFonts w:ascii="Arial Unicode MS" w:cs="Arial Unicode MS" w:eastAsia="Arial Unicode MS" w:hAnsi="Arial Unicode MS"/>
          <w:b w:val="1"/>
          <w:bCs w:val="1"/>
          <w:sz w:val="34"/>
          <w:szCs w:val="34"/>
          <w:rtl w:val="0"/>
        </w:rPr>
        <w:t xml:space="preserve">第2条（譲渡債権）</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甲は、別紙1に記載された債権（以下 本譲渡債権 という）を、本契約締結日をもって乙に譲渡し、乙はこれを譲り受ける。</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本譲渡債権には、元本債権に付随する利息、遅延損害金、違約金その他一切の付随的権利を含むものとする。</w:t>
      </w:r>
    </w:p>
    <w:p w:rsidR="00000000" w:rsidDel="00000000" w:rsidP="00000000" w:rsidRDefault="00000000" w:rsidRPr="00000000" w14:paraId="0000000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cn4226yxjz7k" w:id="3"/>
      <w:bookmarkEnd w:id="3"/>
      <w:r w:rsidDel="00000000" w:rsidR="00000000" w:rsidRPr="00000000">
        <w:rPr>
          <w:rFonts w:ascii="Arial Unicode MS" w:cs="Arial Unicode MS" w:eastAsia="Arial Unicode MS" w:hAnsi="Arial Unicode MS"/>
          <w:b w:val="1"/>
          <w:bCs w:val="1"/>
          <w:sz w:val="34"/>
          <w:szCs w:val="34"/>
          <w:rtl w:val="0"/>
        </w:rPr>
        <w:t xml:space="preserve">第3条（譲渡対価）</w:t>
      </w:r>
    </w:p>
    <w:p w:rsidR="00000000" w:rsidDel="00000000" w:rsidP="00000000" w:rsidRDefault="00000000" w:rsidRPr="00000000" w14:paraId="0000000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乙は、本譲渡債権の譲渡対価として、甲に対し、別紙2に定める金額を、同別紙に定める方法及び期日までに支払うものとする。</w:t>
      </w:r>
    </w:p>
    <w:p w:rsidR="00000000" w:rsidDel="00000000" w:rsidP="00000000" w:rsidRDefault="00000000" w:rsidRPr="00000000" w14:paraId="0000000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前項の支払に要する振込手数料は、乙の負担とする。</w:t>
      </w:r>
    </w:p>
    <w:p w:rsidR="00000000" w:rsidDel="00000000" w:rsidP="00000000" w:rsidRDefault="00000000" w:rsidRPr="00000000" w14:paraId="00000010">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0wyh9sfkurr" w:id="4"/>
      <w:bookmarkEnd w:id="4"/>
      <w:r w:rsidDel="00000000" w:rsidR="00000000" w:rsidRPr="00000000">
        <w:rPr>
          <w:rFonts w:ascii="Arial Unicode MS" w:cs="Arial Unicode MS" w:eastAsia="Arial Unicode MS" w:hAnsi="Arial Unicode MS"/>
          <w:b w:val="1"/>
          <w:bCs w:val="1"/>
          <w:sz w:val="34"/>
          <w:szCs w:val="34"/>
          <w:rtl w:val="0"/>
        </w:rPr>
        <w:t xml:space="preserve">第4条（債権の有効性保証）</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甲は、本契約締結日において、次の各号を保証する。</w:t>
        <w:br w:type="textWrapping"/>
        <w:t xml:space="preserve">(1) 本譲渡債権が有効に成立し、現に存在すること</w:t>
        <w:br w:type="textWrapping"/>
        <w:t xml:space="preserve">(2) 本譲渡債権について、第三者への譲渡、担保設定、差押え等がなされていないこと</w:t>
        <w:br w:type="textWrapping"/>
        <w:t xml:space="preserve">(3) 本譲渡債権の行使を妨げる契約上又は法令上の制限が存在しないこと</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1v61lyywcadh" w:id="5"/>
      <w:bookmarkEnd w:id="5"/>
      <w:r w:rsidDel="00000000" w:rsidR="00000000" w:rsidRPr="00000000">
        <w:rPr>
          <w:rFonts w:ascii="Arial Unicode MS" w:cs="Arial Unicode MS" w:eastAsia="Arial Unicode MS" w:hAnsi="Arial Unicode MS"/>
          <w:b w:val="1"/>
          <w:bCs w:val="1"/>
          <w:sz w:val="34"/>
          <w:szCs w:val="34"/>
          <w:rtl w:val="0"/>
        </w:rPr>
        <w:t xml:space="preserve">第5条（通知及び承諾）</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本譲渡債権について、債務者への通知又は承諾取得は、別途甲乙協議のうえ定める方法により行うものとする。</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前項に関し、乙は、自己の責任と費用において通知又は承諾取得を行うことができる。</w:t>
      </w:r>
    </w:p>
    <w:p w:rsidR="00000000" w:rsidDel="00000000" w:rsidP="00000000" w:rsidRDefault="00000000" w:rsidRPr="00000000" w14:paraId="0000001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0j9xb6exjo9" w:id="6"/>
      <w:bookmarkEnd w:id="6"/>
      <w:r w:rsidDel="00000000" w:rsidR="00000000" w:rsidRPr="00000000">
        <w:rPr>
          <w:rFonts w:ascii="Arial Unicode MS" w:cs="Arial Unicode MS" w:eastAsia="Arial Unicode MS" w:hAnsi="Arial Unicode MS"/>
          <w:b w:val="1"/>
          <w:bCs w:val="1"/>
          <w:sz w:val="34"/>
          <w:szCs w:val="34"/>
          <w:rtl w:val="0"/>
        </w:rPr>
        <w:t xml:space="preserve">第6条（動産・債権譲渡特例法に基づく対抗要件）</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甲及び乙は、本譲渡債権について、動産及び債権の譲渡の対抗要件に関する民法の特例等に関する法律に基づき、法務大臣が指定する債権譲渡登記を行うことができることを相互に確認する。</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前項の登記を行う場合、その申請手続及び費用負担については、別途甲乙協議のうえ定める。</w:t>
      </w:r>
    </w:p>
    <w:p w:rsidR="00000000" w:rsidDel="00000000" w:rsidP="00000000" w:rsidRDefault="00000000" w:rsidRPr="00000000" w14:paraId="0000001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nstetnd5hcq4" w:id="7"/>
      <w:bookmarkEnd w:id="7"/>
      <w:r w:rsidDel="00000000" w:rsidR="00000000" w:rsidRPr="00000000">
        <w:rPr>
          <w:rFonts w:ascii="Arial Unicode MS" w:cs="Arial Unicode MS" w:eastAsia="Arial Unicode MS" w:hAnsi="Arial Unicode MS"/>
          <w:b w:val="1"/>
          <w:bCs w:val="1"/>
          <w:sz w:val="34"/>
          <w:szCs w:val="34"/>
          <w:rtl w:val="0"/>
        </w:rPr>
        <w:t xml:space="preserve">第7条（再譲渡及び担保設定）</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乙は、本譲渡債権について、法令に反しない限り、第三者への再譲渡又は担保設定を行うことができる。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3g7g0nrry5nd"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甲及び乙は、本契約の内容及び本譲渡債権に関して知り得た相手方の非公開情報について、第三者に開示又は漏えいしてはならない。ただし、法令又は公的機関の要請に基づく場合はこの限りでない。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3c2dno48mcux"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甲又は乙が、本契約に違反し、相手方に損害を与えた場合には、その損害を賠償する責任を負うものとする。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ug2rqgqccgco"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uyaveq6g9zm"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15mhetejmfz7"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名称</w:t>
        <w:br w:type="textWrapping"/>
        <w:t xml:space="preserve">　　代表者名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