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uqte75winqjd" w:id="0"/>
      <w:bookmarkEnd w:id="0"/>
      <w:r w:rsidDel="00000000" w:rsidR="00000000" w:rsidRPr="00000000">
        <w:rPr>
          <w:rFonts w:ascii="Arial Unicode MS" w:cs="Arial Unicode MS" w:eastAsia="Arial Unicode MS" w:hAnsi="Arial Unicode MS"/>
          <w:b w:val="1"/>
          <w:bCs w:val="1"/>
          <w:sz w:val="44"/>
          <w:szCs w:val="44"/>
          <w:rtl w:val="0"/>
        </w:rPr>
        <w:t xml:space="preserve">仮登記担保設定契約書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債権者●●（以下「甲」という。）と、債務者●●（以下「乙」という。）は、乙が甲に対して負担する金銭債務の履行を担保するため、次のとおり仮登記担保設定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3i8emc7nkeox"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本契約は、乙が甲に対して負担する本件債務の履行を担保する目的で、乙が所有する第2条記載の不動産につき、仮登記による担保権を設定する条件及びその内容を定めることを目的とする。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jb3sq8bnjonx"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第2条（対象不動産）</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本契約に基づき仮登記担保の目的となる不動産は、次に掲げる不動産とする。</w:t>
        <w:br w:type="textWrapping"/>
        <w:t xml:space="preserve">所在：●●</w:t>
        <w:br w:type="textWrapping"/>
        <w:t xml:space="preserve">地番：●●</w:t>
        <w:br w:type="textWrapping"/>
        <w:t xml:space="preserve">地目：●●</w:t>
        <w:br w:type="textWrapping"/>
        <w:t xml:space="preserve">地積：●●</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kr0k7akup6q0"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第3条（被担保債権）</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本契約により担保される債権は、次に掲げる債権とする。</w:t>
      </w:r>
    </w:p>
    <w:p w:rsidR="00000000" w:rsidDel="00000000" w:rsidP="00000000" w:rsidRDefault="00000000" w:rsidRPr="00000000" w14:paraId="0000000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乙が甲に対して負担する金銭消費貸借契約その他の原因に基づく元本債務</w:t>
      </w:r>
    </w:p>
    <w:p w:rsidR="00000000" w:rsidDel="00000000" w:rsidP="00000000" w:rsidRDefault="00000000" w:rsidRPr="00000000" w14:paraId="0000000E">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前号の債務に付随する利息、遅延損害金、違約金及びこれらに関連して発生する一切の債務</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ew8rob1cmua1"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第4条（仮登記担保の設定）</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乙は、前条の被担保債権を担保するため、対象不動産につき、甲を権利者とする所有権移転請求権仮登記を設定するものとし、これを了承する。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p58h2fo5usu"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第5条（仮登記の申請手続）</w:t>
      </w:r>
    </w:p>
    <w:p w:rsidR="00000000" w:rsidDel="00000000" w:rsidP="00000000" w:rsidRDefault="00000000" w:rsidRPr="00000000" w14:paraId="00000014">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乙は、本契約締結後速やかに、甲の指定する方法により、前条の仮登記手続に必要な一切の書類を提出するものとする。</w:t>
      </w:r>
    </w:p>
    <w:p w:rsidR="00000000" w:rsidDel="00000000" w:rsidP="00000000" w:rsidRDefault="00000000" w:rsidRPr="00000000" w14:paraId="00000015">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仮登記申請に要する登録免許税、司法書士報酬その他一切の費用は、乙の負担とする。</w:t>
      </w:r>
    </w:p>
    <w:p w:rsidR="00000000" w:rsidDel="00000000" w:rsidP="00000000" w:rsidRDefault="00000000" w:rsidRPr="00000000" w14:paraId="00000016">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5jrsd8cktsbj"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第6条（処分制限）</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乙は、仮登記の存続期間中、甲の事前の書面による承諾なく、対象不動産について、譲渡、担保設定、賃貸その他一切の処分行為を行ってはならない。</w:t>
      </w:r>
    </w:p>
    <w:p w:rsidR="00000000" w:rsidDel="00000000" w:rsidP="00000000" w:rsidRDefault="00000000" w:rsidRPr="00000000" w14:paraId="00000019">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hcby0jhsm5tt"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第7条（債務不履行時の措置）</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乙が被担保債権の全部又は一部について履行を怠った場合、甲は、法令に従い、仮登記に基づく本登記を請求することができるものとする。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4erj9yke5aqw"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第8条（清算）</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仮登記に基づき本登記がなされた場合において、対象不動産の評価額が被担保債権額を上回るときは、甲は、その差額を合理的な方法により清算するものとする。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jgtj8iwhw3mg"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第9条（契約の解除）</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乙が本契約に違反し、相当期間を定めて是正を求めてもなお当該違反が解消されない場合、甲は、本契約の全部又は一部を解除することができる。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2dxzgc2hs2tz"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第10条（契約終了後の取扱い）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被担保債権が全額弁済された場合、甲は、乙の請求により、速やかに仮登記の抹消に必要な手続に協力するものとする。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1saniiz8txlj"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第11条（協議事項）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本契約に定めのない事項又は本契約の解釈に疑義が生じた場合には、甲乙協議のうえ、誠意をもって解決を図るものとする。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tb75p0lcwip2"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第12条（準拠法および管轄）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氏名：　　　　　　　　　　　　印</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氏名：　　　　　　　　　　　　印</w:t>
      </w:r>
    </w:p>
    <w:p w:rsidR="00000000" w:rsidDel="00000000" w:rsidP="00000000" w:rsidRDefault="00000000" w:rsidRPr="00000000" w14:paraId="0000003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