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pf7mxkn8df1" w:id="0"/>
      <w:bookmarkEnd w:id="0"/>
      <w:r w:rsidDel="00000000" w:rsidR="00000000" w:rsidRPr="00000000">
        <w:rPr>
          <w:rFonts w:ascii="Arial Unicode MS" w:cs="Arial Unicode MS" w:eastAsia="Arial Unicode MS" w:hAnsi="Arial Unicode MS"/>
          <w:b w:val="1"/>
          <w:bCs w:val="1"/>
          <w:sz w:val="44"/>
          <w:szCs w:val="44"/>
          <w:rtl w:val="0"/>
        </w:rPr>
        <w:t xml:space="preserve">任意後見契約書（移行型）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委任者（以下「甲」という。）と受任者（以下「乙」という。）は、甲の判断能力が将来低下した場合に備え、任意後見に関する事項について、次のとおり契約（以下「本契約」という。）を締結する。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6x5uuz2ddyf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十分な判断能力を有する現在の段階において、将来判断能力が不十分となった場合に備え、乙を任意後見人として選任し、家庭裁判所により任意後見監督人が選任されたときに効力を生じる任意後見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pPr>
      <w:bookmarkStart w:colFirst="0" w:colLast="0" w:name="_30v3furwwan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第2条（移行型任意後見の性質）</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本契約は、甲の判断能力が低下するまでの間は効力を生じず、家庭裁判所が任意後見監督人を選任した時点から、その効力を生じる移行型任意後見契約とする。</w:t>
        <w:br w:type="textWrapping"/>
        <w:t xml:space="preserve">2　前項の効力発生前において、甲及び乙の間には、任意後見に基づく代理権は発生しないものとする。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j4graiq1n408"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第3条（任意後見開始の申立て）</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甲の判断能力が低下し、本契約に基づく任意後見を開始する必要があると判断される場合には、甲又は乙は、家庭裁判所に対し、任意後見監督人選任の申立てを行うものとする。</w:t>
        <w:br w:type="textWrapping"/>
        <w:t xml:space="preserve">2　乙は、前項の申立てに際し、甲の意思及び生活状況に十分配慮するものとする。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3ljeroufmw0i"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第4条（任意後見人の職務内容）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任意後見開始後、乙は、甲の利益を最優先に考慮し、以下の事務を行うものとする。</w:t>
        <w:br w:type="textWrapping"/>
        <w:t xml:space="preserve">(1) 甲の財産の管理および保存に関する事務</w:t>
        <w:br w:type="textWrapping"/>
        <w:t xml:space="preserve">(2) 預貯金の管理、支払、受領に関する事務</w:t>
        <w:br w:type="textWrapping"/>
        <w:t xml:space="preserve">(3) 不動産の管理、利用、保存に関する事務</w:t>
        <w:br w:type="textWrapping"/>
        <w:t xml:space="preserve">(4) 医療、介護、福祉サービスの利用契約に関する事務</w:t>
        <w:br w:type="textWrapping"/>
        <w:t xml:space="preserve">(5) 施設入所契約、住居に関する契約手続に関する事務</w:t>
        <w:br w:type="textWrapping"/>
        <w:t xml:space="preserve">(6) 日常生活に必要な法律行為に関する代理</w:t>
        <w:br w:type="textWrapping"/>
        <w:t xml:space="preserve">(7) その他、甲の生活、療養、財産管理に必要な一切の事務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9ppre0bi3so6"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第5条（身上配慮義務）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乙は、任意後見人として職務を行うにあたり、甲の意思、心身の状態及び生活状況を十分に尊重し、甲の福祉と生活の安定を最優先として誠実に職務を遂行しなければならない。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fnjrnbjwhw8"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第6条（報告義務）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乙は、任意後見監督人が選任された後、監督人の求めに応じて、職務の遂行状況、財産の管理状況その他必要な事項について、適切に報告を行うものとする。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7qnngvzu41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乙は、任意後見開始後、その職務に対する報酬として、家庭裁判所が相当と認める額の報酬を受けることができる。</w:t>
        <w:br w:type="textWrapping"/>
        <w:t xml:space="preserve">2　報酬の具体的な金額及び支払方法は、家庭裁判所の決定に従うものとする。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9xdp61ygjf9"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第8条（費用の負担）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任意後見に関する申立費用、事務処理費用その他本契約に基づく職務遂行に必要な費用は、甲の財産から支払われるものとする。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obwrx1bp9aid"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第9条（解約）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本契約は、任意後見開始前に限り、甲又は乙の合意により、いつでも書面によって解除することができる。</w:t>
        <w:br w:type="textWrapping"/>
        <w:t xml:space="preserve">2　任意後見開始後は、家庭裁判所の許可を得なければ、本契約を解除することはできない。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8xhqvrieoxs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第10条（善管注意義務）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乙は、任意後見人としての職務を、善良な管理者の注意をもって遂行しなければならない。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otrowyt66jaa"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乙が本契約に違反し、又は職務上の義務に反して甲に損害を与えた場合には、その損害を賠償する責任を負うものとする。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o5r08swnycbz"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本契約に定めのない事項又は本契約の解釈に疑義が生じた場合には、甲及び乙は、誠意をもって協議し、円満に解決を図るものとする。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3q797j8hho9k"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以上、本契約締結の証として、本書2通を作成し、甲乙署名押印のうえ、各自1通を保有する。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委任者（甲）</w:t>
        <w:br w:type="textWrapping"/>
        <w:t xml:space="preserve">住所：</w:t>
        <w:br w:type="textWrapping"/>
        <w:t xml:space="preserve">氏名：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受任者（乙）</w:t>
        <w:br w:type="textWrapping"/>
        <w:t xml:space="preserve">住所：</w:t>
        <w:br w:type="textWrapping"/>
        <w:t xml:space="preserve">氏名：　　　　　　　　　　　　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