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lifemnqvay3" w:id="0"/>
      <w:bookmarkEnd w:id="0"/>
      <w:r w:rsidDel="00000000" w:rsidR="00000000" w:rsidRPr="00000000">
        <w:rPr>
          <w:rFonts w:ascii="Arial Unicode MS" w:cs="Arial Unicode MS" w:eastAsia="Arial Unicode MS" w:hAnsi="Arial Unicode MS"/>
          <w:b w:val="1"/>
          <w:bCs w:val="1"/>
          <w:sz w:val="44"/>
          <w:szCs w:val="44"/>
          <w:rtl w:val="0"/>
        </w:rPr>
        <w:t xml:space="preserve">情報セキュリティコンサルティング契約書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情報セキュリティコンサルティング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621b87bobc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本契約は、乙が甲に対し、情報セキュリティ体制の評価、改善提案、内部規程整備支援、リスク分析その他付随業務（以下「本業務」という。）を提供するにあたり、その条件を定めることを目的とする。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qahx9j206e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本業務の具体的内容は、別紙業務仕様書に定める。</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本業務は成果保証型ではなく、助言・支援型の業務であることを甲は確認する。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ngfdljmqlm5y" w:id="3"/>
      <w:bookmarkEnd w:id="3"/>
      <w:r w:rsidDel="00000000" w:rsidR="00000000" w:rsidRPr="00000000">
        <w:rPr>
          <w:rFonts w:ascii="Arial Unicode MS" w:cs="Arial Unicode MS" w:eastAsia="Arial Unicode MS" w:hAnsi="Arial Unicode MS"/>
          <w:b w:val="1"/>
          <w:bCs w:val="1"/>
          <w:sz w:val="34"/>
          <w:szCs w:val="34"/>
          <w:rtl w:val="0"/>
        </w:rPr>
        <w:t xml:space="preserve">第3条（業務実施体制）</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乙は、本業務の遂行に必要な知識・経験を有する者を担当者として選任する。</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乙は、合理的理由がある場合、担当者を変更できる。</w:t>
      </w:r>
    </w:p>
    <w:p w:rsidR="00000000" w:rsidDel="00000000" w:rsidP="00000000" w:rsidRDefault="00000000" w:rsidRPr="00000000" w14:paraId="0000001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乙は、再委託を行う場合、事前に甲の承諾を得るものとし、再委託先の行為について責任を負う。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hld0tbfxhmr" w:id="4"/>
      <w:bookmarkEnd w:id="4"/>
      <w:r w:rsidDel="00000000" w:rsidR="00000000" w:rsidRPr="00000000">
        <w:rPr>
          <w:rFonts w:ascii="Arial Unicode MS" w:cs="Arial Unicode MS" w:eastAsia="Arial Unicode MS" w:hAnsi="Arial Unicode MS"/>
          <w:b w:val="1"/>
          <w:bCs w:val="1"/>
          <w:sz w:val="34"/>
          <w:szCs w:val="34"/>
          <w:rtl w:val="0"/>
        </w:rPr>
        <w:t xml:space="preserve">第4条（協力義務）</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甲は、本業務遂行に必要な資料、情報、アクセス権限等を適時提供する。</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甲の協力遅延により業務に支障が生じた場合、乙は責任を負わない。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std5aia6fmx"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支払期日は請求書発行日から30日以内とする。</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2o2udxxlz1x"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本契約に関連して開示される技術情報、営業情報、個人情報、システム構成情報等を秘密情報とする。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受領当事者は、本契約目的以外に利用せず、第三者へ開示しない。</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法令に基づく開示請求があった場合は、必要最小限の範囲で開示できる。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73otmxzy6ct"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2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乙は、個人情報保護法および関連法令を遵守する。</w:t>
      </w:r>
    </w:p>
    <w:p w:rsidR="00000000" w:rsidDel="00000000" w:rsidP="00000000" w:rsidRDefault="00000000" w:rsidRPr="00000000" w14:paraId="0000002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個人情報を取り扱う場合、適切な安全管理措置を講じる。</w:t>
      </w:r>
    </w:p>
    <w:p w:rsidR="00000000" w:rsidDel="00000000" w:rsidP="00000000" w:rsidRDefault="00000000" w:rsidRPr="00000000" w14:paraId="00000023">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事故発生時は速やかに甲へ報告する。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1i4yej7ny3z" w:id="8"/>
      <w:bookmarkEnd w:id="8"/>
      <w:r w:rsidDel="00000000" w:rsidR="00000000" w:rsidRPr="00000000">
        <w:rPr>
          <w:rFonts w:ascii="Arial Unicode MS" w:cs="Arial Unicode MS" w:eastAsia="Arial Unicode MS" w:hAnsi="Arial Unicode MS"/>
          <w:b w:val="1"/>
          <w:bCs w:val="1"/>
          <w:sz w:val="34"/>
          <w:szCs w:val="34"/>
          <w:rtl w:val="0"/>
        </w:rPr>
        <w:t xml:space="preserve">第8条（情報セキュリティ対策）</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乙は、自社内において合理的な情報セキュリティ対策を実施する。</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業務に用いる端末・クラウド環境についても適切な管理を行う。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g0aizlqmxfc"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本業務により作成された報告書その他成果物の著作権は、報酬完済を条件として甲に帰属する。</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乙は、自らのノウハウ・テンプレートを利用する権利を保持する。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khx8h361cjza"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乙は、本業務の実施により、情報漏えい事故の発生防止、監督官庁からの指摘回避、認証取得等を保証するものではない。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d2l2rm0rnro"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乙の賠償責任は、当該契約年度に受領した報酬総額を上限とする。</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間接損害、逸失利益については責任を負わない。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oq2r4d3bm6ox"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期間満了日の1か月前までに書面解約通知がない場合、自動更新とする。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1w0onedmcv15"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重大な契約違反があり、是正されない場合、解除できる。</w:t>
      </w:r>
    </w:p>
    <w:p w:rsidR="00000000" w:rsidDel="00000000" w:rsidP="00000000" w:rsidRDefault="00000000" w:rsidRPr="00000000" w14:paraId="0000003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破産、民事再生申立て等があった場合は即時解除できる。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aqpsmrxau6oj"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双方は、反社会的勢力に該当しないことを表明保証する。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21qsim344v3y"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天災地変、法令改正、サイバー攻撃その他不可抗力により生じた履行遅延について責任を負わない。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p2hqzz73hr1i"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ukjfc6btzgp5"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本契約に関する紛争は、甲本店所在地を管轄する地方裁判所を第一審専属管轄裁判所とする。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