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wup553n69wp" w:id="0"/>
      <w:bookmarkEnd w:id="0"/>
      <w:r w:rsidDel="00000000" w:rsidR="00000000" w:rsidRPr="00000000">
        <w:rPr>
          <w:rFonts w:ascii="Arial Unicode MS" w:cs="Arial Unicode MS" w:eastAsia="Arial Unicode MS" w:hAnsi="Arial Unicode MS"/>
          <w:b w:val="1"/>
          <w:bCs w:val="1"/>
          <w:sz w:val="44"/>
          <w:szCs w:val="44"/>
          <w:rtl w:val="0"/>
        </w:rPr>
        <w:t xml:space="preserve">人事BPO業務委託契約書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（給与計算・勤怠管理を除く企画系人事業務）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実施する人事企画・制度設計その他の人事BPO業務（給与計算及び勤怠管理業務を除く。）について、次のとおり業務委託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b27mpdki7qg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本契約は、甲が乙に対し、給与計算及び勤怠管理を除く人事企画系業務を委託し、乙がこれを受託するにあたり、両当事者間の権利義務関係を明確にすることを目的とする。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nr9kwuqeb805"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本契約に基づき乙が受託する業務（以下「本業務」という。）は、次の各号に定める人事企画系業務とする。</w:t>
        <w:br w:type="textWrapping"/>
        <w:t xml:space="preserve">(1) 人事制度の設計・改定支援（等級制度、評価制度、報酬制度等）</w:t>
        <w:br w:type="textWrapping"/>
        <w:t xml:space="preserve">(2) 組織設計・人員計画立案支援</w:t>
        <w:br w:type="textWrapping"/>
        <w:t xml:space="preserve">(3) 採用戦略立案及び採用広報支援</w:t>
        <w:br w:type="textWrapping"/>
        <w:t xml:space="preserve">(4) 教育研修制度設計・研修企画支援</w:t>
        <w:br w:type="textWrapping"/>
        <w:t xml:space="preserve">(5) 人材育成計画・タレントマネジメント施策立案</w:t>
        <w:br w:type="textWrapping"/>
        <w:t xml:space="preserve">(6) 人事関連規程の整備・改定案作成支援</w:t>
        <w:br w:type="textWrapping"/>
        <w:t xml:space="preserve">(7) エンゲージメント向上施策の企画</w:t>
        <w:br w:type="textWrapping"/>
        <w:t xml:space="preserve">(8) 前各号に付随するコンサルティング業務</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本業務の具体的内容、成果物、実施スケジュール等は、別途締結する個別契約又は発注書により定める。</w:t>
      </w:r>
    </w:p>
    <w:p w:rsidR="00000000" w:rsidDel="00000000" w:rsidP="00000000" w:rsidRDefault="00000000" w:rsidRPr="00000000" w14:paraId="0000000C">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本業務には、給与計算業務、勤怠管理業務、社会保険手続、労働保険手続、税務申告業務その他法令上の有資格者のみが行うことができる業務は含まれない。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d9hjoatbk53" w:id="3"/>
      <w:bookmarkEnd w:id="3"/>
      <w:r w:rsidDel="00000000" w:rsidR="00000000" w:rsidRPr="00000000">
        <w:rPr>
          <w:rFonts w:ascii="Arial Unicode MS" w:cs="Arial Unicode MS" w:eastAsia="Arial Unicode MS" w:hAnsi="Arial Unicode MS"/>
          <w:b w:val="1"/>
          <w:bCs w:val="1"/>
          <w:sz w:val="34"/>
          <w:szCs w:val="34"/>
          <w:rtl w:val="0"/>
        </w:rPr>
        <w:t xml:space="preserve">第3条（契約形態）</w:t>
      </w:r>
    </w:p>
    <w:p w:rsidR="00000000" w:rsidDel="00000000" w:rsidP="00000000" w:rsidRDefault="00000000" w:rsidRPr="00000000" w14:paraId="0000000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本契約は準委任契約とし、乙は善良なる管理者の注意義務をもって本業務を遂行する。</w:t>
      </w:r>
    </w:p>
    <w:p w:rsidR="00000000" w:rsidDel="00000000" w:rsidP="00000000" w:rsidRDefault="00000000" w:rsidRPr="00000000" w14:paraId="00000010">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乙は、本業務の遂行について成果の完成を保証するものではない。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8bennjkv95nv"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w:t>
      </w:r>
    </w:p>
    <w:p w:rsidR="00000000" w:rsidDel="00000000" w:rsidP="00000000" w:rsidRDefault="00000000" w:rsidRPr="00000000" w14:paraId="0000001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乙は、再委託先に対し、本契約と同等の守秘義務及び情報セキュリティ義務を課し、その履行について責任を負う。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izlc9ca6c73o" w:id="5"/>
      <w:bookmarkEnd w:id="5"/>
      <w:r w:rsidDel="00000000" w:rsidR="00000000" w:rsidRPr="00000000">
        <w:rPr>
          <w:rFonts w:ascii="Arial Unicode MS" w:cs="Arial Unicode MS" w:eastAsia="Arial Unicode MS" w:hAnsi="Arial Unicode MS"/>
          <w:b w:val="1"/>
          <w:bCs w:val="1"/>
          <w:sz w:val="34"/>
          <w:szCs w:val="34"/>
          <w:rtl w:val="0"/>
        </w:rPr>
        <w:t xml:space="preserve">第5条（業務遂行体制）</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乙は、本業務を遂行する責任者を定め、甲に通知する。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甲は、本業務の遂行に必要な資料・情報を適時提供する。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sdimljm3eeab"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第6条（報酬及び支払方法）</w:t>
      </w:r>
    </w:p>
    <w:p w:rsidR="00000000" w:rsidDel="00000000" w:rsidP="00000000" w:rsidRDefault="00000000" w:rsidRPr="00000000" w14:paraId="0000001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甲は、本業務の対価として、個別契約で定める報酬を乙に支払う。</w:t>
      </w:r>
    </w:p>
    <w:p w:rsidR="00000000" w:rsidDel="00000000" w:rsidP="00000000" w:rsidRDefault="00000000" w:rsidRPr="00000000" w14:paraId="0000001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乙は、業務実施後に請求書を発行し、甲は請求書発行日から30日以内に指定口座へ振込により支払う。</w:t>
      </w:r>
    </w:p>
    <w:p w:rsidR="00000000" w:rsidDel="00000000" w:rsidP="00000000" w:rsidRDefault="00000000" w:rsidRPr="00000000" w14:paraId="0000001D">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lvu8n9u8nxq0"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本業務の成果物に関する著作権は、個別契約に定める。</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特段の定めがない場合、成果物の著作権は甲に帰属する。ただし、乙は自己の営業活動に必要な範囲で利用できる。</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乙が従前より保有するノウハウ、テンプレート、分析手法等の知的財産権は乙に留保される。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esqpi2omacgi"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本契約に関連して開示される技術情報、営業情報、人事情報その他一切の非公開情報を秘密情報とする。</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受領当事者は、秘密情報を本契約の目的以外に使用せず、第三者に開示してはならない。</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本条の義務は、本契約終了後も5年間存続する。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1onjt48mdeg"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A">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乙は、本業務に関連して個人情報を取り扱う場合、個人情報保護法その他関連法令を遵守する。</w:t>
      </w:r>
    </w:p>
    <w:p w:rsidR="00000000" w:rsidDel="00000000" w:rsidP="00000000" w:rsidRDefault="00000000" w:rsidRPr="00000000" w14:paraId="0000002B">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乙は、安全管理措置を講じ、漏えい、滅失、毀損を防止する。</w:t>
      </w:r>
    </w:p>
    <w:p w:rsidR="00000000" w:rsidDel="00000000" w:rsidP="00000000" w:rsidRDefault="00000000" w:rsidRPr="00000000" w14:paraId="0000002C">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事故発生時は直ちに甲へ報告し、協議のうえ対応する。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1frqh4rxm449" w:id="10"/>
      <w:bookmarkEnd w:id="10"/>
      <w:r w:rsidDel="00000000" w:rsidR="00000000" w:rsidRPr="00000000">
        <w:rPr>
          <w:rFonts w:ascii="Arial Unicode MS" w:cs="Arial Unicode MS" w:eastAsia="Arial Unicode MS" w:hAnsi="Arial Unicode MS"/>
          <w:b w:val="1"/>
          <w:bCs w:val="1"/>
          <w:sz w:val="34"/>
          <w:szCs w:val="34"/>
          <w:rtl w:val="0"/>
        </w:rPr>
        <w:t xml:space="preserve">第10条（責任制限）</w:t>
      </w:r>
    </w:p>
    <w:p w:rsidR="00000000" w:rsidDel="00000000" w:rsidP="00000000" w:rsidRDefault="00000000" w:rsidRPr="00000000" w14:paraId="0000002F">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乙の賠償責任は、当該個別契約に基づき受領した報酬額を上限とする。</w:t>
      </w:r>
    </w:p>
    <w:p w:rsidR="00000000" w:rsidDel="00000000" w:rsidP="00000000" w:rsidRDefault="00000000" w:rsidRPr="00000000" w14:paraId="00000030">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間接損害、逸失利益については責任を負わない。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4mg8pgmzljl"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本契約の有効期間は、締結日より1年間とする。</w:t>
      </w:r>
    </w:p>
    <w:p w:rsidR="00000000" w:rsidDel="00000000" w:rsidP="00000000" w:rsidRDefault="00000000" w:rsidRPr="00000000" w14:paraId="0000003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期間満了日の1か月前までに解約の意思表示がない場合、自動更新とする。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ujs8iy397lc4"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7">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相手方が重大な契約違反をし、相当期間を定めて是正を求めても改善されない場合、解除できる。</w:t>
      </w:r>
    </w:p>
    <w:p w:rsidR="00000000" w:rsidDel="00000000" w:rsidP="00000000" w:rsidRDefault="00000000" w:rsidRPr="00000000" w14:paraId="00000038">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やむを得ない事由により業務継続が困難な場合、協議のうえ解約できる。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2g14hn5wig32"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当事者は、自らが反社会的勢力でないことを表明保証し、違反が判明した場合は無催告解除できる。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y3vv8hc2emtn"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3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本契約に関する紛争は、東京地方裁判所を第一審の専属的合意管轄裁判所とする。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