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o8egmb69ols" w:id="0"/>
      <w:bookmarkEnd w:id="0"/>
      <w:r w:rsidDel="00000000" w:rsidR="00000000" w:rsidRPr="00000000">
        <w:rPr>
          <w:rFonts w:ascii="Arial Unicode MS" w:cs="Arial Unicode MS" w:eastAsia="Arial Unicode MS" w:hAnsi="Arial Unicode MS"/>
          <w:b w:val="1"/>
          <w:bCs w:val="1"/>
          <w:sz w:val="44"/>
          <w:szCs w:val="44"/>
          <w:rtl w:val="0"/>
        </w:rPr>
        <w:t xml:space="preserve">ピープルアナリティクス導入支援契約書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●●株式会社（以下「甲」という。）と、●●株式会社（以下「乙」という。）は、乙が提供するピープルアナリティクス導入支援業務について、以下のとおり契約（以下「本契約」という。）を締結する。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mqabo78rl7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本契約は、甲の人的資本経営の高度化および人事データ活用体制の構築を目的として、乙が提供するピープルアナリティクス導入支援業務の内容および条件を定めることを目的とする。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atxzz3uq1bq"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「ピープルアナリティクス」とは、従業員データ、組織データ、評価データ、勤怠データその他の人事関連データを分析し、経営・人事施策に活用する手法をいう。</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「個人データ」とは、個人情報保護法に定める個人情報を含む、人事関連の識別可能な情報をいう。</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「成果物」とは、分析レポート、ダッシュボード設計書、提言書、マニュアルその他本業務により作成される一切の資料をいう。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emsaoujjf3ek"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乙は、甲に対し、次の各号の業務を提供する。</w:t>
        <w:br w:type="textWrapping"/>
        <w:t xml:space="preserve">(1) 現状ヒアリングおよび課題整理</w:t>
        <w:br w:type="textWrapping"/>
        <w:t xml:space="preserve">(2) データ設計支援および分析指標設計</w:t>
        <w:br w:type="textWrapping"/>
        <w:t xml:space="preserve">(3) 分析実施および結果報告</w:t>
        <w:br w:type="textWrapping"/>
        <w:t xml:space="preserve">(4) ダッシュボード設計支援</w:t>
        <w:br w:type="textWrapping"/>
        <w:t xml:space="preserve">(5) 人事施策提言</w:t>
        <w:br w:type="textWrapping"/>
        <w:t xml:space="preserve">(6) 担当者向け研修</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業務の詳細内容、期間およびスケジュールは、別途合意する業務仕様書に定める。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85rl1suuo5r" w:id="4"/>
      <w:bookmarkEnd w:id="4"/>
      <w:r w:rsidDel="00000000" w:rsidR="00000000" w:rsidRPr="00000000">
        <w:rPr>
          <w:rFonts w:ascii="Arial Unicode MS" w:cs="Arial Unicode MS" w:eastAsia="Arial Unicode MS" w:hAnsi="Arial Unicode MS"/>
          <w:b w:val="1"/>
          <w:bCs w:val="1"/>
          <w:sz w:val="34"/>
          <w:szCs w:val="34"/>
          <w:rtl w:val="0"/>
        </w:rPr>
        <w:t xml:space="preserve">第4条（業務遂行体制）</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乙は、専門知識を有する担当者を配置し、善良なる管理者の注意義務をもって業務を遂行する。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甲は、業務遂行に必要な資料、データおよび情報を適時提供する。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9zwfaplbff2" w:id="5"/>
      <w:bookmarkEnd w:id="5"/>
      <w:r w:rsidDel="00000000" w:rsidR="00000000" w:rsidRPr="00000000">
        <w:rPr>
          <w:rFonts w:ascii="Arial Unicode MS" w:cs="Arial Unicode MS" w:eastAsia="Arial Unicode MS" w:hAnsi="Arial Unicode MS"/>
          <w:b w:val="1"/>
          <w:bCs w:val="1"/>
          <w:sz w:val="34"/>
          <w:szCs w:val="34"/>
          <w:rtl w:val="0"/>
        </w:rPr>
        <w:t xml:space="preserve">第5条（データの取扱い）</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乙は、個人データを本契約の目的の範囲内でのみ利用する。</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乙は、個人データの安全管理措置を講じ、漏えい、滅失、毀損を防止する。</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乙は、再委託を行う場合、甲の事前承諾を得るものとする。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vttpa9nxgcqk"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本業務により新たに作成された成果物の著作権は、特段の合意がない限り甲に帰属する。</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乙は、自己のノウハウおよび分析手法について引き続き利用できる。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q1x8up0g1dx" w:id="7"/>
      <w:bookmarkEnd w:id="7"/>
      <w:r w:rsidDel="00000000" w:rsidR="00000000" w:rsidRPr="00000000">
        <w:rPr>
          <w:rFonts w:ascii="Arial Unicode MS" w:cs="Arial Unicode MS" w:eastAsia="Arial Unicode MS" w:hAnsi="Arial Unicode MS"/>
          <w:b w:val="1"/>
          <w:bCs w:val="1"/>
          <w:sz w:val="34"/>
          <w:szCs w:val="34"/>
          <w:rtl w:val="0"/>
        </w:rPr>
        <w:t xml:space="preserve">第7条（対価および支払方法）</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甲は、乙に対し、本業務の対価として金●●円を支払う。</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支払期日は請求書発行日から30日以内とする。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f5amha4yj6a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当事者は、本契約に関連して知り得た相手方の営業情報、技術情報および個人データを第三者に開示してはならない。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b6xr69pho93o"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jtcnp9vucc4"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当事者は、相手方が本契約に違反し、相当期間を定めて是正を求めても改善されない場合、本契約を解除できる。</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重大な情報漏えいが発生した場合、直ちに解除できる。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x6la7oe8v13"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本契約違反により損害が生じた場合、違反当事者は賠償責任を負う。ただし、賠償額は当該業務対価の総額を上限とする。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89h2sc5aoemw"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本契約は日本法を準拠法とし、紛争は東京地方裁判所を第一審の専属的合意管轄裁判所とする。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