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4t2t55a6ksc8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国際業務委託契約書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日本国法人。以下「甲」という。）と、●●Company（●●国法人。以下「乙」という。）は、甲が乙に対して業務を委託するにあたり、次のとおり国際業務委託契約（以下「本契約」という。）を締結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9w02e7xmrhq" w:id="1"/>
      <w:bookmarkEnd w:id="1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、別紙業務仕様書に定める業務（以下「本業務」という。）を委託し、乙がこれを受託するにあたり、国際取引における権利義務関係、責任範囲、知的財産権、準拠法その他必要事項を定めることを目的と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ui9li8aixhiy" w:id="2"/>
      <w:bookmarkEnd w:id="2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乙は、善良なる管理者の注意義務をもって、本業務を遂行する。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本業務の具体的内容、成果物、納期、報酬、支払方法その他必要事項は、別紙業務仕様書に定める。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業務内容の変更は、書面又は電磁的方法による両当事者の合意により行う。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wqxu1dhnx9o4" w:id="3"/>
      <w:bookmarkEnd w:id="3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第3条（再委託）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乙は、本業務の全部又は一部を第三者に再委託する場合、事前に甲の書面承諾を得なければならない。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再委託を行った場合、乙は当該第三者の行為について自己の行為と同一の責任を負う。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anw5am6c1sgw" w:id="4"/>
      <w:bookmarkEnd w:id="4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第4条（報酬及び支払）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甲は、乙に対し、本業務の対価として、別紙に定める報酬を支払う。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支払通貨は●●通貨とし、送金手数料の負担は別紙の定めによる。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支払期日は、請求書発行日から●日以内とする。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国際送金に伴う為替変動リスクの負担は、別途合意がない限り甲が負担する。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h4f7jlkn3bx1" w:id="5"/>
      <w:bookmarkEnd w:id="5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第5条（税務）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本契約に基づき発生する税金は、各当事者が自国法令に従い負担する。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源泉徴収義務が発生する場合、甲は自国法令に基づき処理する。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租税条約の適用を受ける場合、乙は必要書類を提供する。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g02sl3q85ytt" w:id="6"/>
      <w:bookmarkEnd w:id="6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第6条（知的財産権）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本業務の成果物に関する著作権その他の知的財産権は、別途合意のない限り、甲に帰属する。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乙は、成果物に関して著作者人格権を行使しない。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乙が従前から保有する技術・ノウハウは乙に留保される。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ht9ui063xs0j" w:id="7"/>
      <w:bookmarkEnd w:id="7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第7条（秘密保持）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本契約に関連して開示される技術情報、営業情報、個人情報その他の非公開情報を秘密情報とする。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受領当事者は、本契約目的以外に利用せず、第三者へ開示してはならない。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法令又は裁判所命令により開示が必要な場合は、合理的範囲で事前通知を行う。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本条の義務は契約終了後●年間存続する。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iqix25gxnfw4" w:id="8"/>
      <w:bookmarkEnd w:id="8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第8条（個人情報・データ保護）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個人データを取り扱う場合、各当事者は適用法令（GDPR等を含む）を遵守する。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国境を越えるデータ移転については、適法な移転手段を確保する。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h2tebcimnwbj" w:id="9"/>
      <w:bookmarkEnd w:id="9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第9条（保証及び責任）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乙は、本業務を専門的知見に基づき遂行することを保証する。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間接損害、逸失利益については責任を負わない。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損害賠償額の上限は、過去●か月間に支払われた報酬総額とする。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chf8mepnrk6" w:id="10"/>
      <w:bookmarkEnd w:id="10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第10条（契約期間）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本契約の有効期間は、締結日から●年間とする。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期間満了日の●日前までに解約通知がない場合、自動更新する。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br4lo8bntysv" w:id="11"/>
      <w:bookmarkEnd w:id="11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第11条（解除）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重大な契約違反があり、是正されない場合、書面通知により解除できる。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支払停止、破産申立て等があった場合、即時解除できる。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hd9b2w2adzni" w:id="12"/>
      <w:bookmarkEnd w:id="12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第12条（不可抗力）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天災、戦争、輸出入規制、パンデミックその他不可抗力事由により履行不能となった場合、責任を負わない。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amk00hjdise0" w:id="13"/>
      <w:bookmarkEnd w:id="13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第13条（輸出管理）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本業務に関連する技術・製品の輸出については、各国輸出管理法令を遵守する。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745pyoy4e0rp" w:id="14"/>
      <w:bookmarkEnd w:id="14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第14条（反社会的勢力の排除）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各当事者は、反社会的勢力に該当しないことを表明保証する。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qqh4b0yykow1" w:id="15"/>
      <w:bookmarkEnd w:id="15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第15条（準拠法・紛争解決）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本契約の準拠法は日本法とする。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紛争は、東京地方裁判所を第一審の専属的合意管轄裁判所とする。</w:t>
        <w:br w:type="textWrapping"/>
        <w:t xml:space="preserve">但し、別途仲裁合意を定めることもできる。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ri0sgc41gso0" w:id="16"/>
      <w:bookmarkEnd w:id="16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第16条（完全合意）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本契約は当事者間の完全合意を構成し、口頭合意に優先する。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4w60nkvh07is" w:id="17"/>
      <w:bookmarkEnd w:id="17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第17条（契約言語）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本契約は日本語及び英語で作成することができ、相違がある場合は日本語版を優先する。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本契約締結の証として、本書2通を作成し、各当事者記名押印のうえ各1通を保有する。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●●Company</w:t>
        <w:br w:type="textWrapping"/>
        <w:t xml:space="preserve">Address：</w:t>
        <w:br w:type="textWrapping"/>
        <w:t xml:space="preserve">Representative：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