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q29rpy6fdlk" w:id="0"/>
      <w:bookmarkEnd w:id="0"/>
      <w:r w:rsidDel="00000000" w:rsidR="00000000" w:rsidRPr="00000000">
        <w:rPr>
          <w:rFonts w:ascii="Arial Unicode MS" w:cs="Arial Unicode MS" w:eastAsia="Arial Unicode MS" w:hAnsi="Arial Unicode MS"/>
          <w:b w:val="1"/>
          <w:bCs w:val="1"/>
          <w:sz w:val="44"/>
          <w:szCs w:val="44"/>
          <w:rtl w:val="0"/>
        </w:rPr>
        <w:t xml:space="preserve">実行委員会運営に関する覚書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共同で実施する●●イベント（以下「本事業」という。）の円滑な運営を目的として、実行委員会の設置および運営に関し、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0gpijuylx8j"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本覚書は、甲及び乙が本事業を共同で推進するにあたり、実行委員会の組織、役割、意思決定方法及び責任分担等を定め、円滑かつ効率的な運営を図ることを目的とする。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d468y838bfyp" w:id="2"/>
      <w:bookmarkEnd w:id="2"/>
      <w:r w:rsidDel="00000000" w:rsidR="00000000" w:rsidRPr="00000000">
        <w:rPr>
          <w:rFonts w:ascii="Arial Unicode MS" w:cs="Arial Unicode MS" w:eastAsia="Arial Unicode MS" w:hAnsi="Arial Unicode MS"/>
          <w:b w:val="1"/>
          <w:bCs w:val="1"/>
          <w:rtl w:val="0"/>
        </w:rPr>
        <w:t xml:space="preserve">第2条（実行委員会の設置）</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甲及び乙は、本事業の運営のために実行委員会（以下「本委員会」という。）を設置する。</w:t>
        <w:br w:type="textWrapping"/>
        <w:t xml:space="preserve">2　本委員会は、本事業に関する企画、運営、管理及びこれらに付随する一切の業務を行う。</w:t>
        <w:br w:type="textWrapping"/>
        <w:t xml:space="preserve">3　本委員会の事務局は、原則として甲に設置するものとする。ただし、甲乙協議のうえ変更することができる。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agr8vwxn441m" w:id="3"/>
      <w:bookmarkEnd w:id="3"/>
      <w:r w:rsidDel="00000000" w:rsidR="00000000" w:rsidRPr="00000000">
        <w:rPr>
          <w:rFonts w:ascii="Arial Unicode MS" w:cs="Arial Unicode MS" w:eastAsia="Arial Unicode MS" w:hAnsi="Arial Unicode MS"/>
          <w:b w:val="1"/>
          <w:bCs w:val="1"/>
          <w:rtl w:val="0"/>
        </w:rPr>
        <w:t xml:space="preserve">第3条（構成）</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本委員会は、甲及び乙が指名する委員により構成される。</w:t>
        <w:br w:type="textWrapping"/>
        <w:t xml:space="preserve">2　各当事者は、必要に応じて委員の追加、変更又は削除を行うことができる。</w:t>
        <w:br w:type="textWrapping"/>
        <w:t xml:space="preserve">3　本委員会には、委員長及び副委員長を置くことができる。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sbs6f7g447yx" w:id="4"/>
      <w:bookmarkEnd w:id="4"/>
      <w:r w:rsidDel="00000000" w:rsidR="00000000" w:rsidRPr="00000000">
        <w:rPr>
          <w:rFonts w:ascii="Arial Unicode MS" w:cs="Arial Unicode MS" w:eastAsia="Arial Unicode MS" w:hAnsi="Arial Unicode MS"/>
          <w:b w:val="1"/>
          <w:bCs w:val="1"/>
          <w:rtl w:val="0"/>
        </w:rPr>
        <w:t xml:space="preserve">第4条（役割分担）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甲及び乙は、本事業の運営に関し、以下の役割分担を行うものとする。</w:t>
        <w:br w:type="textWrapping"/>
        <w:t xml:space="preserve">（1）甲の主な担当業務：●●（例：全体統括、会場手配、予算管理 等）</w:t>
        <w:br w:type="textWrapping"/>
        <w:t xml:space="preserve">（2）乙の主な担当業務：●●（例：広報、スポンサー対応、コンテンツ企画 等）</w:t>
        <w:br w:type="textWrapping"/>
        <w:t xml:space="preserve">2　具体的な業務内容については、本委員会において協議のうえ決定する。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zdcgnwsudyhn" w:id="5"/>
      <w:bookmarkEnd w:id="5"/>
      <w:r w:rsidDel="00000000" w:rsidR="00000000" w:rsidRPr="00000000">
        <w:rPr>
          <w:rFonts w:ascii="Arial Unicode MS" w:cs="Arial Unicode MS" w:eastAsia="Arial Unicode MS" w:hAnsi="Arial Unicode MS"/>
          <w:b w:val="1"/>
          <w:bCs w:val="1"/>
          <w:rtl w:val="0"/>
        </w:rPr>
        <w:t xml:space="preserve">第5条（意思決定）</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本委員会における重要事項の決定は、原則として甲乙の合意により行う。</w:t>
        <w:br w:type="textWrapping"/>
        <w:t xml:space="preserve">2　緊急を要する場合には、事務局の判断により対応できるものとするが、速やかに相手方へ報告するものとする。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9uzrf5ecc84d" w:id="6"/>
      <w:bookmarkEnd w:id="6"/>
      <w:r w:rsidDel="00000000" w:rsidR="00000000" w:rsidRPr="00000000">
        <w:rPr>
          <w:rFonts w:ascii="Arial Unicode MS" w:cs="Arial Unicode MS" w:eastAsia="Arial Unicode MS" w:hAnsi="Arial Unicode MS"/>
          <w:b w:val="1"/>
          <w:bCs w:val="1"/>
          <w:rtl w:val="0"/>
        </w:rPr>
        <w:t xml:space="preserve">第6条（費用負担）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本事業に関する費用は、甲乙間で別途合意した割合により負担する。</w:t>
        <w:br w:type="textWrapping"/>
        <w:t xml:space="preserve">2　費用の支出にあたっては、事前に本委員会の承認を得るものとする。</w:t>
        <w:br w:type="textWrapping"/>
        <w:t xml:space="preserve">3　収益が発生した場合の分配方法については、別途協議のうえ定める。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un5m9hutjt55" w:id="7"/>
      <w:bookmarkEnd w:id="7"/>
      <w:r w:rsidDel="00000000" w:rsidR="00000000" w:rsidRPr="00000000">
        <w:rPr>
          <w:rFonts w:ascii="Arial Unicode MS" w:cs="Arial Unicode MS" w:eastAsia="Arial Unicode MS" w:hAnsi="Arial Unicode MS"/>
          <w:b w:val="1"/>
          <w:bCs w:val="1"/>
          <w:rtl w:val="0"/>
        </w:rPr>
        <w:t xml:space="preserve">第7条（責任の範囲）</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甲及び乙は、それぞれ自己の担当業務に関して責任を負う。</w:t>
        <w:br w:type="textWrapping"/>
        <w:t xml:space="preserve">2　一方当事者の故意又は過失により相手方又は第三者に損害が生じた場合、当該当事者はその責任を負うものとする。</w:t>
        <w:br w:type="textWrapping"/>
        <w:t xml:space="preserve">3　不可抗力により生じた損害については、双方協議のうえ対応を決定する。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tpltkyhei1md"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甲及び乙は、本覚書及び本事業に関連して知り得た相手方の営業上、技術上その他一切の非公開情報を第三者に開示又は漏えいしてはならない。</w:t>
        <w:br w:type="textWrapping"/>
        <w:t xml:space="preserve">2　本条の義務は、本覚書終了後も存続する。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ysj87a8de3aj"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本事業に関連して作成された資料、コンテンツ、成果物等の知的財産権の帰属については、別途協議のうえ定める。</w:t>
        <w:br w:type="textWrapping"/>
        <w:t xml:space="preserve">2　共同制作物については、共有とするか、いずれかに帰属させるかを明確にするものとする。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djkfkq1cc6bb"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本覚書の有効期間は、締結日から本事業終了日までとする。</w:t>
        <w:br w:type="textWrapping"/>
        <w:t xml:space="preserve">2　本覚書終了後も、第8条（秘密保持）その他性質上存続すべき条項は引き続き有効とする。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xonbj6cw7wdk" w:id="11"/>
      <w:bookmarkEnd w:id="11"/>
      <w:r w:rsidDel="00000000" w:rsidR="00000000" w:rsidRPr="00000000">
        <w:rPr>
          <w:rFonts w:ascii="Arial Unicode MS" w:cs="Arial Unicode MS" w:eastAsia="Arial Unicode MS" w:hAnsi="Arial Unicode MS"/>
          <w:b w:val="1"/>
          <w:bCs w:val="1"/>
          <w:rtl w:val="0"/>
        </w:rPr>
        <w:t xml:space="preserve">第11条（解除）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甲又は乙は、相手方が本覚書に違反し、相当期間を定めて是正を求めたにもかかわらず改善されない場合、本覚書を解除することができる。</w:t>
        <w:br w:type="textWrapping"/>
        <w:t xml:space="preserve">2　やむを得ない事情により本事業の継続が困難となった場合、双方協議のうえ本覚書を終了できる。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j12hzhr1ec56"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甲及び乙は、自己及び関係者が反社会的勢力に該当しないことを表明し、将来にわたっても該当しないことを保証する。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pk3ox3bw1n1d"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本覚書に定めのない事項又は疑義が生じた場合は、甲乙誠意をもって協議し解決する。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rpsf80cc3fae" w:id="14"/>
      <w:bookmarkEnd w:id="14"/>
      <w:r w:rsidDel="00000000" w:rsidR="00000000" w:rsidRPr="00000000">
        <w:rPr>
          <w:rFonts w:ascii="Arial Unicode MS" w:cs="Arial Unicode MS" w:eastAsia="Arial Unicode MS" w:hAnsi="Arial Unicode MS"/>
          <w:b w:val="1"/>
          <w:bCs w:val="1"/>
          <w:rtl w:val="0"/>
        </w:rPr>
        <w:t xml:space="preserve">第14条（準拠法・管轄）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本覚書は日本法に準拠し、本覚書に関する紛争については、●●地方裁判所を第一審の専属的合意管轄裁判所とする。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k9sbhvr6ljw0" w:id="15"/>
      <w:bookmarkEnd w:id="15"/>
      <w:r w:rsidDel="00000000" w:rsidR="00000000" w:rsidRPr="00000000">
        <w:rPr>
          <w:rFonts w:ascii="Arial Unicode MS" w:cs="Arial Unicode MS" w:eastAsia="Arial Unicode MS" w:hAnsi="Arial Unicode MS"/>
          <w:b w:val="1"/>
          <w:bCs w:val="1"/>
          <w:rtl w:val="0"/>
        </w:rPr>
        <w:t xml:space="preserve">第15条（免責事項）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本覚書は一般的な参考ひな形として作成されたものであり、具体的な案件への適用にあたっては、個別事情に応じて専門家（弁護士等）の確認を受けることを推奨する。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本覚書締結の証として、本書2通を作成し、甲乙記名押印のうえ、各自1通を保有する。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　　　　　　　　　印</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　　　　　　　　　印</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