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gg8tgul9m7k" w:id="0"/>
      <w:bookmarkEnd w:id="0"/>
      <w:r w:rsidDel="00000000" w:rsidR="00000000" w:rsidRPr="00000000">
        <w:rPr>
          <w:rFonts w:ascii="Arial Unicode MS" w:cs="Arial Unicode MS" w:eastAsia="Arial Unicode MS" w:hAnsi="Arial Unicode MS"/>
          <w:b w:val="1"/>
          <w:bCs w:val="1"/>
          <w:sz w:val="44"/>
          <w:szCs w:val="44"/>
          <w:rtl w:val="0"/>
        </w:rPr>
        <w:t xml:space="preserve">商業登記業務委任契約書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本契約は、商業登記に関する業務の委任について、委任者と受任者との間の権利義務関係を明確にすることを目的として締結される。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●●株式会社（以下「甲」という。）と●●（司法書士等）（以下「乙」という。）は、商業登記業務の委任に関し、以下のとおり契約（以下「本契約」という。）を締結する。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e6i1m6u909q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本契約は、甲が乙に対し商業登記に関する業務を委任し、乙がこれを受任するにあたり、その業務内容、報酬、責任範囲その他必要事項を定めることを目的とする。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ppu0q3gjehkz"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甲は乙に対し、次に掲げる商業登記に関する業務（以下「本業務」という。）を委任する。</w:t>
        <w:br w:type="textWrapping"/>
        <w:t xml:space="preserve">・会社設立登記</w:t>
        <w:br w:type="textWrapping"/>
        <w:t xml:space="preserve">・役員変更登記</w:t>
        <w:br w:type="textWrapping"/>
        <w:t xml:space="preserve">・本店移転登記</w:t>
        <w:br w:type="textWrapping"/>
        <w:t xml:space="preserve">・増資・減資に関する登記</w:t>
        <w:br w:type="textWrapping"/>
        <w:t xml:space="preserve">・その他甲が依頼し乙が承諾した登記業務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本業務の具体的内容、申請方法、必要書類等は、個別案件ごとに甲乙協議の上決定する。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t5q65a62nvm9"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乙は、司法書士法その他関係法令を遵守し、善良なる管理者の注意をもって本業務を遂行する。</w:t>
        <w:br w:type="textWrapping"/>
        <w:t xml:space="preserve">2　乙は、本業務の遂行にあたり、必要に応じて甲に対し資料提供、確認、指示を求めることができる。</w:t>
        <w:br w:type="textWrapping"/>
        <w:t xml:space="preserve">3　乙は、登記申請の代理を行う場合、法令に基づく適切な代理権限の範囲内で業務を行う。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y7j40lm65al0"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甲は、乙による本業務の遂行に必要な書類、情報、資料を正確かつ速やかに提供する。</w:t>
        <w:br w:type="textWrapping"/>
        <w:t xml:space="preserve">2　甲が提供した情報に誤りや不足があった場合、それに起因する不利益について乙は責任を負わない。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c35g3phb4sy9"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本業務に関する報酬は、別途合意した報酬額による。</w:t>
        <w:br w:type="textWrapping"/>
        <w:t xml:space="preserve">2　登録免許税、印紙代、郵送費その他実費は甲の負担とする。</w:t>
        <w:br w:type="textWrapping"/>
        <w:t xml:space="preserve">3　乙は、業務着手前または業務完了後に報酬を請求することができる。</w:t>
        <w:br w:type="textWrapping"/>
        <w:t xml:space="preserve">4　甲が支払期日までに支払を行わない場合、乙は業務の全部または一部を停止できる。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v7krjbcfw65i"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乙は、本業務の全部または一部を第三者に再委託することができる。ただし、その場合でも乙は当該第三者の行為について責任を負う。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f0fqsy6qe0v8"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乙は、本業務に関連して知り得た甲の情報を秘密として保持し、第三者に漏えいしてはならない。</w:t>
        <w:br w:type="textWrapping"/>
        <w:t xml:space="preserve">2　本条の義務は、本契約終了後も存続する。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（※中小企業庁レベルの秘密保持体系を踏襲した構成）</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9rbuo4qel7yu"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乙は、本業務に関連して取得した個人情報について、個人情報保護法その他関係法令を遵守し、適切に管理する。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1c5tmlx9p6u"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乙は、本業務の遂行に関し、故意または重大な過失がある場合に限り、甲に対して損害賠償責任を負う。</w:t>
        <w:br w:type="textWrapping"/>
        <w:t xml:space="preserve">2　乙の責任は、受領した報酬額を上限とする。</w:t>
        <w:br w:type="textWrapping"/>
        <w:t xml:space="preserve">3　登記の可否は法務局の判断によるものであり、その結果について乙は保証しない。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fk82wv3471yh"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本契約の有効期間は、本契約締結日から本業務完了日までとする。</w:t>
        <w:br w:type="textWrapping"/>
        <w:t xml:space="preserve">2　本業務完了後も、第7条（秘密保持）その他性質上存続すべき条項は引き続き有効とする。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kifghl2a3o4a"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やむを得ない事情がある場合、双方協議の上、契約を解除することができる。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tey82me2psc3"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天災、法令改正、行政指導その他当事者の責に帰さない事由により本業務の遂行が困難となった場合、乙は責任を負わない。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ywqsr7axrvgo"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甲及び乙は、自らが反社会的勢力でないことを表明し、将来にわたっても該当しないことを保証する。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dobyubmua4s"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l9t0zvf3u3m1"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bmk8zbxoeu5m"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第16条（契約書の成立）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本契約の成立を証するため、本書2通を作成し、甲乙記名押印の上、各1通を保有する。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●●（司法書士等）</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