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j9m3tpyo98z" w:id="0"/>
      <w:bookmarkEnd w:id="0"/>
      <w:r w:rsidDel="00000000" w:rsidR="00000000" w:rsidRPr="00000000">
        <w:rPr>
          <w:rFonts w:ascii="Arial Unicode MS" w:cs="Arial Unicode MS" w:eastAsia="Arial Unicode MS" w:hAnsi="Arial Unicode MS"/>
          <w:b w:val="1"/>
          <w:bCs w:val="1"/>
          <w:sz w:val="44"/>
          <w:szCs w:val="44"/>
          <w:rtl w:val="0"/>
        </w:rPr>
        <w:t xml:space="preserve">増資登記委任契約書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●●株式会社（以下「甲」という。）と●●（司法書士等）（以下「乙」という。）は、増資に伴う登記手続の委任に関し、以下のとおり契約（以下「本契約」という。）を締結する。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g78d0ix1q9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増資（新株発行、第三者割当増資その他これに付随する手続を含む。）に関し、必要となる登記申請手続および関連業務を乙に委任し、その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587uqm9m8tq"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甲は乙に対し、次の業務（以下「本業務」という。）を委任し、乙はこれを受任する。</w:t>
        <w:br w:type="textWrapping"/>
        <w:t xml:space="preserve">（１）増資に関する登記申請書類の作成</w:t>
        <w:br w:type="textWrapping"/>
        <w:t xml:space="preserve">（２）法務局への登記申請手続</w:t>
        <w:br w:type="textWrapping"/>
        <w:t xml:space="preserve">（３）登記に必要な書類の収集および確認</w:t>
        <w:br w:type="textWrapping"/>
        <w:t xml:space="preserve">（４）補正対応および法務局との折衝</w:t>
        <w:br w:type="textWrapping"/>
        <w:t xml:space="preserve">（５）その他前各号に付随する業務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本業務の具体的範囲および内容は、甲乙協議のうえ個別に定めるものとする。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yuw7ic4m3msi"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第3条（業務遂行の原則）</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乙は、善良な管理者の注意をもって、本業務を遂行する。</w:t>
        <w:br w:type="textWrapping"/>
        <w:t xml:space="preserve">２　乙は、法令および関係規則を遵守し、専門家として適切に業務を行うものとする。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vpz7lyumtqm4"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甲は、乙による本業務の遂行に必要な資料、情報および書類を、正確かつ速やかに提供するものとする。</w:t>
        <w:br w:type="textWrapping"/>
        <w:t xml:space="preserve">２　甲は、乙からの照会または依頼に対し、合理的な期間内に回答および対応を行うものとする。</w:t>
        <w:br w:type="textWrapping"/>
        <w:t xml:space="preserve">３　甲が前各項の義務を怠ったことにより生じた遅延または損害について、乙は責任を負わない。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qnvycgk35cic"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甲は乙に対し、本業務の対価として、別途合意する報酬を支払う。</w:t>
        <w:br w:type="textWrapping"/>
        <w:t xml:space="preserve">２　登記に係る登録免許税、郵送費、印紙代その他実費は、甲の負担とする。</w:t>
        <w:br w:type="textWrapping"/>
        <w:t xml:space="preserve">３　報酬の支払時期および方法は、別途定めるところによる。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1135i5e8dsh"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乙は、本業務の全部または一部を第三者に再委託することができる。この場合、乙は当該第三者の行為について自己の行為と同一の責任を負う。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foiczy18bhvc"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乙は、本業務に関連して知り得た甲の業務上、技術上その他一切の情報を第三者に開示または漏えいしてはならない。</w:t>
        <w:br w:type="textWrapping"/>
        <w:t xml:space="preserve">２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55l81o2dwtv7"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乙は、本業務に関連して取得した個人情報について、個人情報保護法その他関連法令を遵守し、適切に管理するものとする。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cv8m7jh8799"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本業務の遂行により作成された書類その他成果物に関する権利は、法令または別途合意がない限り、甲に帰属する。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rvze6l52zezm"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乙は、甲から提供された資料または情報の正確性、完全性について責任を負わない。</w:t>
        <w:br w:type="textWrapping"/>
        <w:t xml:space="preserve">２　乙は、法令の解釈変更、行政庁の判断その他乙の責めに帰さない事由により生じた結果について責任を負わない。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trou86vj2ji0"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乙が本契約に違反し、甲に損害を与えた場合には、乙はその損害を賠償する。ただし、乙の責任は、故意または重過失がある場合に限るものとする。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8tupnt5nvsab"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本契約の有効期間は、本契約締結日から本業務完了日までとする。</w:t>
        <w:br w:type="textWrapping"/>
        <w:t xml:space="preserve">２　本業務完了後も、第7条（秘密保持）および第8条（個人情報）は有効に存続する。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8i4252bwdpso"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甲または乙は、相手方が本契約に違反し、相当期間を定めて是正を求めたにもかかわらず是正されない場合、本契約を解除できる。</w:t>
        <w:br w:type="textWrapping"/>
        <w:t xml:space="preserve">２　やむを得ない事由がある場合、双方は協議のうえ契約を解除できる。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gozxsm72ujva"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甲および乙は、自らが反社会的勢力に該当しないことを表明し、将来にわたっても該当しないことを保証する。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rirdmbxls4m2"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gdudyn2crub"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本契約締結の証として、本書２通を作成し、甲乙記名押印のうえ、各自１通を保有する。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