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ir61eacck1k" w:id="0"/>
      <w:bookmarkEnd w:id="0"/>
      <w:r w:rsidDel="00000000" w:rsidR="00000000" w:rsidRPr="00000000">
        <w:rPr>
          <w:rFonts w:ascii="Arial Unicode MS" w:cs="Arial Unicode MS" w:eastAsia="Arial Unicode MS" w:hAnsi="Arial Unicode MS"/>
          <w:b w:val="1"/>
          <w:bCs w:val="1"/>
          <w:sz w:val="44"/>
          <w:szCs w:val="44"/>
          <w:rtl w:val="0"/>
        </w:rPr>
        <w:t xml:space="preserve">任意後見契約書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本契約は、委任者●●（以下「甲」という。）と受任者●●（以下「乙」という。）との間で、将来における判断能力の低下に備えた任意後見に関する事項について、以下のとおり締結する。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eqqcfc3w70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本契約は、甲の判断能力が不十分となった場合に備え、乙が甲の生活、療養看護及び財産管理に関する事務を適切に行うことを目的とする。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njtemi5a07q" w:id="2"/>
      <w:bookmarkEnd w:id="2"/>
      <w:r w:rsidDel="00000000" w:rsidR="00000000" w:rsidRPr="00000000">
        <w:rPr>
          <w:rFonts w:ascii="Arial Unicode MS" w:cs="Arial Unicode MS" w:eastAsia="Arial Unicode MS" w:hAnsi="Arial Unicode MS"/>
          <w:b w:val="1"/>
          <w:bCs w:val="1"/>
          <w:sz w:val="34"/>
          <w:szCs w:val="34"/>
          <w:rtl w:val="0"/>
        </w:rPr>
        <w:t xml:space="preserve">第2条（任意後見契約の効力発生）</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甲及び乙は、本契約が公正証書により締結される任意後見契約であることを確認する。</w:t>
        <w:br w:type="textWrapping"/>
        <w:t xml:space="preserve">2　本契約は、家庭裁判所により任意後見監督人が選任された時から効力を生じるものとする。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260cz954qge7" w:id="3"/>
      <w:bookmarkEnd w:id="3"/>
      <w:r w:rsidDel="00000000" w:rsidR="00000000" w:rsidRPr="00000000">
        <w:rPr>
          <w:rFonts w:ascii="Arial Unicode MS" w:cs="Arial Unicode MS" w:eastAsia="Arial Unicode MS" w:hAnsi="Arial Unicode MS"/>
          <w:b w:val="1"/>
          <w:bCs w:val="1"/>
          <w:sz w:val="34"/>
          <w:szCs w:val="34"/>
          <w:rtl w:val="0"/>
        </w:rPr>
        <w:t xml:space="preserve">第3条（委任事項）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乙は、任意後見人として、次の各号に掲げる事務を行う。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甲の財産の管理及び保存</w:t>
        <w:br w:type="textWrapping"/>
        <w:t xml:space="preserve">(2) 預貯金、金融資産の管理及び処分</w:t>
        <w:br w:type="textWrapping"/>
        <w:t xml:space="preserve">(3) 不動産の管理、賃貸、売却その他の処分</w:t>
        <w:br w:type="textWrapping"/>
        <w:t xml:space="preserve">(4) 介護サービス、医療サービスの契約締結及び変更</w:t>
        <w:br w:type="textWrapping"/>
        <w:t xml:space="preserve">(5) 入院、施設入所等に関する手続</w:t>
        <w:br w:type="textWrapping"/>
        <w:t xml:space="preserve">(6) 税務申告及び公的手続に関する代理</w:t>
        <w:br w:type="textWrapping"/>
        <w:t xml:space="preserve">(7) 日常生活に関する支出の管理</w:t>
        <w:br w:type="textWrapping"/>
        <w:t xml:space="preserve">(8) その他、甲の生活及び財産に関する必要な法律行為</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97x3xyh37z53" w:id="4"/>
      <w:bookmarkEnd w:id="4"/>
      <w:r w:rsidDel="00000000" w:rsidR="00000000" w:rsidRPr="00000000">
        <w:rPr>
          <w:rFonts w:ascii="Arial Unicode MS" w:cs="Arial Unicode MS" w:eastAsia="Arial Unicode MS" w:hAnsi="Arial Unicode MS"/>
          <w:b w:val="1"/>
          <w:bCs w:val="1"/>
          <w:sz w:val="34"/>
          <w:szCs w:val="34"/>
          <w:rtl w:val="0"/>
        </w:rPr>
        <w:t xml:space="preserve">第4条（代理権の範囲）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乙は、前条に定める事項について、甲を代理して法律行為を行う権限を有する。</w:t>
        <w:br w:type="textWrapping"/>
        <w:t xml:space="preserve">2　乙は、甲の利益を最優先に考え、善良な管理者の注意義務をもって職務を遂行しなければならない。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gb1z6o95y4ix" w:id="5"/>
      <w:bookmarkEnd w:id="5"/>
      <w:r w:rsidDel="00000000" w:rsidR="00000000" w:rsidRPr="00000000">
        <w:rPr>
          <w:rFonts w:ascii="Arial Unicode MS" w:cs="Arial Unicode MS" w:eastAsia="Arial Unicode MS" w:hAnsi="Arial Unicode MS"/>
          <w:b w:val="1"/>
          <w:bCs w:val="1"/>
          <w:sz w:val="34"/>
          <w:szCs w:val="34"/>
          <w:rtl w:val="0"/>
        </w:rPr>
        <w:t xml:space="preserve">第5条（身上監護）</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乙は、甲の生活状況、健康状態及び福祉に配慮し、適切な療養看護及び生活支援が行われるよう努めるものとする。</w:t>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ddkft7rbt4ui" w:id="6"/>
      <w:bookmarkEnd w:id="6"/>
      <w:r w:rsidDel="00000000" w:rsidR="00000000" w:rsidRPr="00000000">
        <w:rPr>
          <w:rFonts w:ascii="Arial Unicode MS" w:cs="Arial Unicode MS" w:eastAsia="Arial Unicode MS" w:hAnsi="Arial Unicode MS"/>
          <w:b w:val="1"/>
          <w:bCs w:val="1"/>
          <w:sz w:val="34"/>
          <w:szCs w:val="34"/>
          <w:rtl w:val="0"/>
        </w:rPr>
        <w:t xml:space="preserve">第6条（財産管理の方法）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乙は、甲の財産を自己の財産と分別して管理しなければならない。</w:t>
        <w:br w:type="textWrapping"/>
        <w:t xml:space="preserve">2　乙は、収支の状況を明確にし、必要に応じて記録を作成する。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q4xb77atocm" w:id="7"/>
      <w:bookmarkEnd w:id="7"/>
      <w:r w:rsidDel="00000000" w:rsidR="00000000" w:rsidRPr="00000000">
        <w:rPr>
          <w:rFonts w:ascii="Arial Unicode MS" w:cs="Arial Unicode MS" w:eastAsia="Arial Unicode MS" w:hAnsi="Arial Unicode MS"/>
          <w:b w:val="1"/>
          <w:bCs w:val="1"/>
          <w:sz w:val="34"/>
          <w:szCs w:val="34"/>
          <w:rtl w:val="0"/>
        </w:rPr>
        <w:t xml:space="preserve">第7条（任意後見監督人への報告）</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乙は、任意後見監督人に対し、定期的に業務の状況及び財産の管理状況を報告するものとする。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cfqwih3rjgw" w:id="8"/>
      <w:bookmarkEnd w:id="8"/>
      <w:r w:rsidDel="00000000" w:rsidR="00000000" w:rsidRPr="00000000">
        <w:rPr>
          <w:rFonts w:ascii="Arial Unicode MS" w:cs="Arial Unicode MS" w:eastAsia="Arial Unicode MS" w:hAnsi="Arial Unicode MS"/>
          <w:b w:val="1"/>
          <w:bCs w:val="1"/>
          <w:sz w:val="34"/>
          <w:szCs w:val="34"/>
          <w:rtl w:val="0"/>
        </w:rPr>
        <w:t xml:space="preserve">第8条（禁止行為）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自己又は第三者の利益のために甲の財産を不当に利用する行為</w:t>
        <w:br w:type="textWrapping"/>
        <w:t xml:space="preserve">(2) 甲の利益に反する契約の締結</w:t>
        <w:br w:type="textWrapping"/>
        <w:t xml:space="preserve">(3) 任意後見人としての地位を濫用する行為</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9t5be7ygnlje" w:id="9"/>
      <w:bookmarkEnd w:id="9"/>
      <w:r w:rsidDel="00000000" w:rsidR="00000000" w:rsidRPr="00000000">
        <w:rPr>
          <w:rFonts w:ascii="Arial Unicode MS" w:cs="Arial Unicode MS" w:eastAsia="Arial Unicode MS" w:hAnsi="Arial Unicode MS"/>
          <w:b w:val="1"/>
          <w:bCs w:val="1"/>
          <w:sz w:val="34"/>
          <w:szCs w:val="34"/>
          <w:rtl w:val="0"/>
        </w:rPr>
        <w:t xml:space="preserve">第9条（報酬）</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乙の報酬は、別途定める金額とする。</w:t>
        <w:br w:type="textWrapping"/>
        <w:t xml:space="preserve">2　報酬の支払いは、家庭裁判所の関与のもと適切に行うものとする。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u7jc1nexftv7" w:id="10"/>
      <w:bookmarkEnd w:id="10"/>
      <w:r w:rsidDel="00000000" w:rsidR="00000000" w:rsidRPr="00000000">
        <w:rPr>
          <w:rFonts w:ascii="Arial Unicode MS" w:cs="Arial Unicode MS" w:eastAsia="Arial Unicode MS" w:hAnsi="Arial Unicode MS"/>
          <w:b w:val="1"/>
          <w:bCs w:val="1"/>
          <w:sz w:val="34"/>
          <w:szCs w:val="34"/>
          <w:rtl w:val="0"/>
        </w:rPr>
        <w:t xml:space="preserve">第10条（費用の負担）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乙が本契約に基づく事務を遂行するために必要な費用は、甲の負担とする。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yagc7rrkw9vs" w:id="11"/>
      <w:bookmarkEnd w:id="11"/>
      <w:r w:rsidDel="00000000" w:rsidR="00000000" w:rsidRPr="00000000">
        <w:rPr>
          <w:rFonts w:ascii="Arial Unicode MS" w:cs="Arial Unicode MS" w:eastAsia="Arial Unicode MS" w:hAnsi="Arial Unicode MS"/>
          <w:b w:val="1"/>
          <w:bCs w:val="1"/>
          <w:sz w:val="34"/>
          <w:szCs w:val="34"/>
          <w:rtl w:val="0"/>
        </w:rPr>
        <w:t xml:space="preserve">第11条（契約の終了）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本契約は、次の各号のいずれかに該当した場合に終了する。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甲又は乙の死亡</w:t>
        <w:br w:type="textWrapping"/>
        <w:t xml:space="preserve">(2) 任意後見契約の取消し又は解除</w:t>
        <w:br w:type="textWrapping"/>
        <w:t xml:space="preserve">(3) 法定後見開始の審判</w:t>
        <w:br w:type="textWrapping"/>
        <w:t xml:space="preserve">(4) その他法令に基づく終了事由</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yyh6cthxwc44"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甲又は乙は、やむを得ない事由がある場合には、本契約を解除することができる。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9f4yaivy3iq"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oby3hacygzfe" w:id="14"/>
      <w:bookmarkEnd w:id="14"/>
      <w:r w:rsidDel="00000000" w:rsidR="00000000" w:rsidRPr="00000000">
        <w:rPr>
          <w:rFonts w:ascii="Arial Unicode MS" w:cs="Arial Unicode MS" w:eastAsia="Arial Unicode MS" w:hAnsi="Arial Unicode MS"/>
          <w:b w:val="1"/>
          <w:bCs w:val="1"/>
          <w:sz w:val="34"/>
          <w:szCs w:val="34"/>
          <w:rtl w:val="0"/>
        </w:rPr>
        <w:t xml:space="preserve">第14条（守秘義務）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乙は、本契約に関連して知り得た甲の個人情報及び財産情報を第三者に漏えいしてはならない。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5e5fdzp7xdo0"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本契約に定めのない事項又は疑義が生じた場合には、甲乙協議の上、誠実に解決するものとする。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ony0xqokb9sm"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本契約に関する紛争については、甲の住所地を管轄する家庭裁判所又は地方裁判所を第一審の専属的合意管轄裁判所とする。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w3zvdldprc0k" w:id="17"/>
      <w:bookmarkEnd w:id="17"/>
      <w:r w:rsidDel="00000000" w:rsidR="00000000" w:rsidRPr="00000000">
        <w:rPr>
          <w:rFonts w:ascii="Arial Unicode MS" w:cs="Arial Unicode MS" w:eastAsia="Arial Unicode MS" w:hAnsi="Arial Unicode MS"/>
          <w:b w:val="1"/>
          <w:bCs w:val="1"/>
          <w:sz w:val="34"/>
          <w:szCs w:val="34"/>
          <w:rtl w:val="0"/>
        </w:rPr>
        <w:t xml:space="preserve">第17条（公正証書化）</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本契約は、公証人により公正証書として作成するものとする。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本契約締結の証として、本書を作成し、甲乙署名押印のうえ、各自保有する。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甲（委任者）</w:t>
        <w:br w:type="textWrapping"/>
        <w:t xml:space="preserve">住所：</w:t>
        <w:br w:type="textWrapping"/>
        <w:t xml:space="preserve">氏名：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乙（受任者）</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