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vxsyo6qycdb" w:id="0"/>
      <w:bookmarkEnd w:id="0"/>
      <w:r w:rsidDel="00000000" w:rsidR="00000000" w:rsidRPr="00000000">
        <w:rPr>
          <w:rFonts w:ascii="Arial Unicode MS" w:cs="Arial Unicode MS" w:eastAsia="Arial Unicode MS" w:hAnsi="Arial Unicode MS"/>
          <w:b w:val="1"/>
          <w:bCs w:val="1"/>
          <w:sz w:val="44"/>
          <w:szCs w:val="44"/>
          <w:rtl w:val="0"/>
        </w:rPr>
        <w:t xml:space="preserve">法人顧問契約書（司法書士）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●●株式会社（以下「甲」という。）と、司法書士●●（以下「乙」という。）は、甲の法務支援に関する顧問契約について、以下のとおり契約（以下「本契約」という。）を締結する。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9jsx6hmg72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本契約は、乙が甲に対し、司法書士業務に関する継続的な法務支援を提供することにより、甲の企業活動における法的安定性及びリスク管理の向上を図ることを目的とする。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c9c6m666l9t" w:id="2"/>
      <w:bookmarkEnd w:id="2"/>
      <w:r w:rsidDel="00000000" w:rsidR="00000000" w:rsidRPr="00000000">
        <w:rPr>
          <w:rFonts w:ascii="Arial Unicode MS" w:cs="Arial Unicode MS" w:eastAsia="Arial Unicode MS" w:hAnsi="Arial Unicode MS"/>
          <w:b w:val="1"/>
          <w:bCs w:val="1"/>
          <w:sz w:val="34"/>
          <w:szCs w:val="34"/>
          <w:rtl w:val="0"/>
        </w:rPr>
        <w:t xml:space="preserve">第2条（顧問業務の内容）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乙は、甲に対し、以下の業務（以下「顧問業務」という。）を提供する。</w:t>
        <w:br w:type="textWrapping"/>
        <w:t xml:space="preserve">(1) 商業登記及び不動産登記に関する相談対応</w:t>
        <w:br w:type="textWrapping"/>
        <w:t xml:space="preserve">(2) 各種契約書、議事録、法務文書に関する助言</w:t>
        <w:br w:type="textWrapping"/>
        <w:t xml:space="preserve">(3) 法務手続に関する一般的相談</w:t>
        <w:br w:type="textWrapping"/>
        <w:t xml:space="preserve">(4) 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前項の業務は、原則として助言業務とし、具体的な登記申請等の実務は別途個別契約により行うものとする。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s3kpo9d0s5px" w:id="3"/>
      <w:bookmarkEnd w:id="3"/>
      <w:r w:rsidDel="00000000" w:rsidR="00000000" w:rsidRPr="00000000">
        <w:rPr>
          <w:rFonts w:ascii="Arial Unicode MS" w:cs="Arial Unicode MS" w:eastAsia="Arial Unicode MS" w:hAnsi="Arial Unicode MS"/>
          <w:b w:val="1"/>
          <w:bCs w:val="1"/>
          <w:sz w:val="34"/>
          <w:szCs w:val="34"/>
          <w:rtl w:val="0"/>
        </w:rPr>
        <w:t xml:space="preserve">第3条（個別業務の取扱い）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乙が登記申請その他の具体的手続を行う場合には、甲乙間で別途委任契約を締結する。</w:t>
        <w:br w:type="textWrapping"/>
        <w:t xml:space="preserve">2　前項の個別業務に関する報酬は、本契約の顧問料とは別に定める。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3uwbv3tjsl4f" w:id="4"/>
      <w:bookmarkEnd w:id="4"/>
      <w:r w:rsidDel="00000000" w:rsidR="00000000" w:rsidRPr="00000000">
        <w:rPr>
          <w:rFonts w:ascii="Arial Unicode MS" w:cs="Arial Unicode MS" w:eastAsia="Arial Unicode MS" w:hAnsi="Arial Unicode MS"/>
          <w:b w:val="1"/>
          <w:bCs w:val="1"/>
          <w:sz w:val="34"/>
          <w:szCs w:val="34"/>
          <w:rtl w:val="0"/>
        </w:rPr>
        <w:t xml:space="preserve">第4条（顧問料）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甲は乙に対し、顧問業務の対価として、月額●●円（消費税別）を支払う。</w:t>
        <w:br w:type="textWrapping"/>
        <w:t xml:space="preserve">2　顧問料は、毎月末日締め翌月末日までに乙指定口座へ振込により支払う。</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u2tjzw6z39v5" w:id="5"/>
      <w:bookmarkEnd w:id="5"/>
      <w:r w:rsidDel="00000000" w:rsidR="00000000" w:rsidRPr="00000000">
        <w:rPr>
          <w:rFonts w:ascii="Arial Unicode MS" w:cs="Arial Unicode MS" w:eastAsia="Arial Unicode MS" w:hAnsi="Arial Unicode MS"/>
          <w:b w:val="1"/>
          <w:bCs w:val="1"/>
          <w:sz w:val="34"/>
          <w:szCs w:val="34"/>
          <w:rtl w:val="0"/>
        </w:rPr>
        <w:t xml:space="preserve">第5条（対応方法）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乙は、甲からの相談に対し、電子メール、電話、オンライン会議その他合理的な方法により対応する。</w:t>
        <w:br w:type="textWrapping"/>
        <w:t xml:space="preserve">2　対面相談については、事前に日程調整の上実施する。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x5zd2llkgqyx" w:id="6"/>
      <w:bookmarkEnd w:id="6"/>
      <w:r w:rsidDel="00000000" w:rsidR="00000000" w:rsidRPr="00000000">
        <w:rPr>
          <w:rFonts w:ascii="Arial Unicode MS" w:cs="Arial Unicode MS" w:eastAsia="Arial Unicode MS" w:hAnsi="Arial Unicode MS"/>
          <w:b w:val="1"/>
          <w:bCs w:val="1"/>
          <w:sz w:val="34"/>
          <w:szCs w:val="34"/>
          <w:rtl w:val="0"/>
        </w:rPr>
        <w:t xml:space="preserve">第6条（善管注意義務）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乙は、専門家としての善良なる管理者の注意をもって顧問業務を遂行する。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jbq30igwwp4j"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乙は、顧問業務に関連して知り得た甲の営業上、技術上その他一切の情報を第三者に開示又は漏えいしてはならない。</w:t>
        <w:br w:type="textWrapping"/>
        <w:t xml:space="preserve">2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7hrqqs5k1nk" w:id="8"/>
      <w:bookmarkEnd w:id="8"/>
      <w:r w:rsidDel="00000000" w:rsidR="00000000" w:rsidRPr="00000000">
        <w:rPr>
          <w:rFonts w:ascii="Arial Unicode MS" w:cs="Arial Unicode MS" w:eastAsia="Arial Unicode MS" w:hAnsi="Arial Unicode MS"/>
          <w:b w:val="1"/>
          <w:bCs w:val="1"/>
          <w:sz w:val="34"/>
          <w:szCs w:val="34"/>
          <w:rtl w:val="0"/>
        </w:rPr>
        <w:t xml:space="preserve">第8条（利益相反）</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乙は、甲の利益を不当に害するおそれのある業務を受任してはならない。</w:t>
        <w:br w:type="textWrapping"/>
        <w:t xml:space="preserve">2　利益相反の可能性が生じた場合、乙は速やかに甲へ通知し、協議の上対応を決定する。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462d26l5gu5g"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乙は、顧問業務の提供にあたり、故意又は重過失によって甲に損害を与えた場合に限り、その責任を負う。</w:t>
        <w:br w:type="textWrapping"/>
        <w:t xml:space="preserve">2　乙の損害賠償責任は、当該損害が発生した月を含む過去6か月間に甲が支払った顧問料の総額を上限とする。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dtwqptnhgnlz"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乙は、提供した助言の結果について、特定の成果や結果を保証するものではない。</w:t>
        <w:br w:type="textWrapping"/>
        <w:t xml:space="preserve">2　法令改正や裁判例の変更等により、助言内容が将来において適合しなくなる場合について、乙は責任を負わない。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utddish1skga"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本契約の有効期間は、●●年●月●日から1年間とする。</w:t>
        <w:br w:type="textWrapping"/>
        <w:t xml:space="preserve">2　期間満了の1か月前までにいずれからも書面による解約の意思表示がない場合、本契約は同一条件で自動更新される。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jltnjhfhsg58"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甲又は乙は、相手方に対し1か月前までに書面で通知することにより、本契約を解約することができる。</w:t>
        <w:br w:type="textWrapping"/>
        <w:t xml:space="preserve">2　甲が既に支払った顧問料は、原則として返還されない。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xykohdeekgjn"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甲又は乙は、相手方が以下の各号のいずれかに該当した場合、何らの催告を要せず本契約を解除することができる。</w:t>
        <w:br w:type="textWrapping"/>
        <w:t xml:space="preserve">(1) 本契約に違反し、是正されない場合</w:t>
        <w:br w:type="textWrapping"/>
        <w:t xml:space="preserve">(2) 支払停止、破産、民事再生等の申立てがあった場合</w:t>
        <w:br w:type="textWrapping"/>
        <w:t xml:space="preserve">(3) 信用状態が著しく悪化した場合</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5xw9f02pcke1"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甲及び乙は、自らが反社会的勢力に該当しないことを表明し、保証する。</w:t>
        <w:br w:type="textWrapping"/>
        <w:t xml:space="preserve">2　違反が判明した場合、相手方は直ちに本契約を解除できる。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pgtbp38pbsn" w:id="15"/>
      <w:bookmarkEnd w:id="15"/>
      <w:r w:rsidDel="00000000" w:rsidR="00000000" w:rsidRPr="00000000">
        <w:rPr>
          <w:rFonts w:ascii="Arial Unicode MS" w:cs="Arial Unicode MS" w:eastAsia="Arial Unicode MS" w:hAnsi="Arial Unicode MS"/>
          <w:b w:val="1"/>
          <w:bCs w:val="1"/>
          <w:sz w:val="34"/>
          <w:szCs w:val="34"/>
          <w:rtl w:val="0"/>
        </w:rPr>
        <w:t xml:space="preserve">第15条（権利義務の譲渡禁止）</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甲及び乙は、相手方の書面による承諾なく、本契約上の地位又は権利義務を第三者に譲渡してはならない。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assdk1wr56lh"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1mo54d5ny82l"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本契約は日本法に準拠し、本契約に関する紛争については、乙の事務所所在地を管轄する地方裁判所を第一審の専属的合意管轄裁判所とする。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pj7rhj6wrajd"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第18条（契約書の作成）</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本契約は、書面又は電磁的方法により締結する。</w:t>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q59mhxbviksx" w:id="19"/>
      <w:bookmarkEnd w:id="19"/>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乙：司法書士●●</w:t>
        <w:br w:type="textWrapping"/>
        <w:t xml:space="preserve">（事務所所在地）</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